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Arial" w:hAnsi="Arial" w:cs="Arial"/>
          <w:sz w:val="24"/>
          <w:szCs w:val="24"/>
          <w:highlight w:val="yellow"/>
        </w:rPr>
        <w:id w:val="415365"/>
        <w:docPartObj>
          <w:docPartGallery w:val="Cover Pages"/>
          <w:docPartUnique/>
        </w:docPartObj>
      </w:sdtPr>
      <w:sdtEndPr/>
      <w:sdtContent>
        <w:bookmarkStart w:id="0" w:name="_GoBack" w:displacedByCustomXml="prev"/>
        <w:bookmarkEnd w:id="0" w:displacedByCustomXml="prev"/>
        <w:p w:rsidR="00084717" w:rsidRPr="00344311" w:rsidRDefault="00084717" w:rsidP="00A90166">
          <w:pPr>
            <w:spacing w:after="0" w:line="240" w:lineRule="auto"/>
            <w:jc w:val="center"/>
            <w:rPr>
              <w:rFonts w:asciiTheme="majorHAnsi" w:hAnsiTheme="majorHAnsi" w:cs="Arial"/>
              <w:sz w:val="24"/>
              <w:szCs w:val="24"/>
            </w:rPr>
          </w:pPr>
          <w:r w:rsidRPr="00344311">
            <w:rPr>
              <w:rFonts w:asciiTheme="majorHAnsi" w:hAnsiTheme="majorHAnsi" w:cs="Arial"/>
              <w:sz w:val="24"/>
              <w:szCs w:val="24"/>
            </w:rPr>
            <w:t>BOSNA I HERCEGOVINA</w:t>
          </w:r>
        </w:p>
        <w:p w:rsidR="00084717" w:rsidRPr="00344311" w:rsidRDefault="00084717" w:rsidP="00A90166">
          <w:pPr>
            <w:spacing w:after="0" w:line="240" w:lineRule="auto"/>
            <w:jc w:val="center"/>
            <w:rPr>
              <w:rFonts w:asciiTheme="majorHAnsi" w:hAnsiTheme="majorHAnsi" w:cs="Arial"/>
              <w:sz w:val="24"/>
              <w:szCs w:val="24"/>
            </w:rPr>
          </w:pPr>
          <w:r w:rsidRPr="00344311">
            <w:rPr>
              <w:rFonts w:asciiTheme="majorHAnsi" w:hAnsiTheme="majorHAnsi" w:cs="Arial"/>
              <w:sz w:val="24"/>
              <w:szCs w:val="24"/>
            </w:rPr>
            <w:t>FEDERACIJA BOSNE I HERCEGOVINE</w:t>
          </w:r>
        </w:p>
        <w:p w:rsidR="000500BA" w:rsidRPr="00344311" w:rsidRDefault="00084717" w:rsidP="00A90166">
          <w:pPr>
            <w:spacing w:after="0" w:line="240" w:lineRule="auto"/>
            <w:jc w:val="center"/>
            <w:rPr>
              <w:rFonts w:asciiTheme="majorHAnsi" w:hAnsiTheme="majorHAnsi" w:cs="Arial"/>
              <w:sz w:val="24"/>
              <w:szCs w:val="24"/>
            </w:rPr>
          </w:pPr>
          <w:r w:rsidRPr="00344311">
            <w:rPr>
              <w:rFonts w:asciiTheme="majorHAnsi" w:hAnsiTheme="majorHAnsi" w:cs="Arial"/>
              <w:sz w:val="24"/>
              <w:szCs w:val="24"/>
            </w:rPr>
            <w:t>FEDERALNO MINISTARSTVO FINANSIJA</w:t>
          </w:r>
        </w:p>
        <w:p w:rsidR="00084717" w:rsidRPr="00344311" w:rsidRDefault="00084717" w:rsidP="00A90166">
          <w:pPr>
            <w:spacing w:after="0" w:line="240" w:lineRule="auto"/>
            <w:jc w:val="center"/>
            <w:rPr>
              <w:rFonts w:asciiTheme="majorHAnsi" w:hAnsiTheme="majorHAnsi" w:cs="Arial"/>
              <w:sz w:val="24"/>
              <w:szCs w:val="24"/>
            </w:rPr>
          </w:pPr>
          <w:r w:rsidRPr="00344311">
            <w:rPr>
              <w:rFonts w:asciiTheme="majorHAnsi" w:hAnsiTheme="majorHAnsi" w:cs="Arial"/>
              <w:sz w:val="24"/>
              <w:szCs w:val="24"/>
            </w:rPr>
            <w:t>FEDERALNO MINISTARSTVO FINANCIJA</w:t>
          </w: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E35C3F" w:rsidRPr="001F212B" w:rsidRDefault="00E35C3F" w:rsidP="00A90166">
          <w:pPr>
            <w:spacing w:after="0" w:line="240" w:lineRule="auto"/>
            <w:jc w:val="center"/>
            <w:rPr>
              <w:rFonts w:ascii="Arial" w:hAnsi="Arial" w:cs="Arial"/>
              <w:sz w:val="24"/>
              <w:szCs w:val="24"/>
              <w:highlight w:val="yellow"/>
            </w:rPr>
          </w:pPr>
        </w:p>
        <w:p w:rsidR="00E35C3F" w:rsidRPr="001F212B" w:rsidRDefault="00E35C3F"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10F2E" w:rsidP="00A90166">
          <w:pPr>
            <w:spacing w:after="0" w:line="240" w:lineRule="auto"/>
            <w:jc w:val="center"/>
            <w:rPr>
              <w:rFonts w:ascii="Arial" w:hAnsi="Arial" w:cs="Arial"/>
              <w:sz w:val="24"/>
              <w:szCs w:val="24"/>
              <w:highlight w:val="yellow"/>
            </w:rPr>
          </w:pPr>
          <w:r w:rsidRPr="001F212B">
            <w:rPr>
              <w:rFonts w:ascii="Arial" w:hAnsi="Arial" w:cs="Arial"/>
              <w:sz w:val="24"/>
              <w:szCs w:val="24"/>
              <w:highlight w:val="yellow"/>
              <w:lang w:eastAsia="bs-Latn-BA"/>
            </w:rPr>
            <mc:AlternateContent>
              <mc:Choice Requires="wps">
                <w:drawing>
                  <wp:anchor distT="0" distB="0" distL="114300" distR="114300" simplePos="0" relativeHeight="252099072" behindDoc="0" locked="0" layoutInCell="1" allowOverlap="1" wp14:anchorId="50958366" wp14:editId="12DEC18A">
                    <wp:simplePos x="0" y="0"/>
                    <wp:positionH relativeFrom="column">
                      <wp:posOffset>733425</wp:posOffset>
                    </wp:positionH>
                    <wp:positionV relativeFrom="paragraph">
                      <wp:posOffset>142875</wp:posOffset>
                    </wp:positionV>
                    <wp:extent cx="5753100" cy="733425"/>
                    <wp:effectExtent l="19050" t="0" r="19050" b="28575"/>
                    <wp:wrapNone/>
                    <wp:docPr id="88" name="Chevron 88"/>
                    <wp:cNvGraphicFramePr/>
                    <a:graphic xmlns:a="http://schemas.openxmlformats.org/drawingml/2006/main">
                      <a:graphicData uri="http://schemas.microsoft.com/office/word/2010/wordprocessingShape">
                        <wps:wsp>
                          <wps:cNvSpPr/>
                          <wps:spPr>
                            <a:xfrm>
                              <a:off x="0" y="0"/>
                              <a:ext cx="5753100" cy="733425"/>
                            </a:xfrm>
                            <a:prstGeom prst="chevron">
                              <a:avLst/>
                            </a:prstGeom>
                            <a:solidFill>
                              <a:schemeClr val="accent3">
                                <a:lumMod val="60000"/>
                                <a:lumOff val="40000"/>
                              </a:schemeClr>
                            </a:solidFill>
                            <a:ln>
                              <a:solidFill>
                                <a:schemeClr val="accent3">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10F2E" w:rsidRPr="00344311" w:rsidRDefault="0059403E" w:rsidP="00C10F2E">
                                <w:pPr>
                                  <w:spacing w:after="0"/>
                                  <w:jc w:val="center"/>
                                  <w:rPr>
                                    <w:rFonts w:asciiTheme="majorHAnsi" w:hAnsiTheme="majorHAnsi"/>
                                    <w:b/>
                                    <w:smallCaps/>
                                    <w:sz w:val="28"/>
                                    <w:szCs w:val="32"/>
                                  </w:rPr>
                                </w:pPr>
                                <w:r w:rsidRPr="00344311">
                                  <w:rPr>
                                    <w:rFonts w:asciiTheme="majorHAnsi" w:hAnsiTheme="majorHAnsi"/>
                                    <w:b/>
                                    <w:smallCaps/>
                                    <w:sz w:val="28"/>
                                    <w:szCs w:val="32"/>
                                  </w:rPr>
                                  <w:t xml:space="preserve">OBRAZLOŽENJE </w:t>
                                </w:r>
                                <w:r w:rsidR="00C10F2E" w:rsidRPr="00344311">
                                  <w:rPr>
                                    <w:rFonts w:asciiTheme="majorHAnsi" w:hAnsiTheme="majorHAnsi"/>
                                    <w:b/>
                                    <w:smallCaps/>
                                    <w:sz w:val="28"/>
                                    <w:szCs w:val="32"/>
                                  </w:rPr>
                                  <w:t>PRIJEDLOGA</w:t>
                                </w:r>
                                <w:r w:rsidRPr="00344311">
                                  <w:rPr>
                                    <w:rFonts w:asciiTheme="majorHAnsi" w:hAnsiTheme="majorHAnsi"/>
                                    <w:b/>
                                    <w:smallCaps/>
                                    <w:sz w:val="28"/>
                                    <w:szCs w:val="32"/>
                                  </w:rPr>
                                  <w:t xml:space="preserve"> ODLUKE O IZMJENAMA</w:t>
                                </w:r>
                              </w:p>
                              <w:p w:rsidR="0059403E" w:rsidRPr="00344311" w:rsidRDefault="0059403E" w:rsidP="00C10F2E">
                                <w:pPr>
                                  <w:spacing w:after="0"/>
                                  <w:jc w:val="center"/>
                                  <w:rPr>
                                    <w:rFonts w:asciiTheme="majorHAnsi" w:hAnsiTheme="majorHAnsi"/>
                                    <w:b/>
                                    <w:sz w:val="28"/>
                                    <w:szCs w:val="32"/>
                                  </w:rPr>
                                </w:pPr>
                                <w:r w:rsidRPr="00344311">
                                  <w:rPr>
                                    <w:rFonts w:asciiTheme="majorHAnsi" w:hAnsiTheme="majorHAnsi"/>
                                    <w:b/>
                                    <w:smallCaps/>
                                    <w:sz w:val="28"/>
                                    <w:szCs w:val="32"/>
                                  </w:rPr>
                                  <w:t xml:space="preserve"> I DOPUNAMA BUDŽETA FEDERACIJE BIH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958366"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88" o:spid="_x0000_s1026" type="#_x0000_t55" style="position:absolute;left:0;text-align:left;margin-left:57.75pt;margin-top:11.25pt;width:453pt;height:57.75pt;z-index:25209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" adj="20223" fillcolor="#c2d69b [1942]" strokecolor="#c2d69b [1942]" strokeweight="2pt">
                    <v:textbox>
                      <w:txbxContent>
                        <w:p w:rsidR="00C10F2E" w:rsidRPr="00344311" w:rsidRDefault="0059403E" w:rsidP="00C10F2E">
                          <w:pPr>
                            <w:spacing w:after="0"/>
                            <w:jc w:val="center"/>
                            <w:rPr>
                              <w:rFonts w:asciiTheme="majorHAnsi" w:hAnsiTheme="majorHAnsi"/>
                              <w:b/>
                              <w:smallCaps/>
                              <w:sz w:val="28"/>
                              <w:szCs w:val="32"/>
                            </w:rPr>
                          </w:pPr>
                          <w:r w:rsidRPr="00344311">
                            <w:rPr>
                              <w:rFonts w:asciiTheme="majorHAnsi" w:hAnsiTheme="majorHAnsi"/>
                              <w:b/>
                              <w:smallCaps/>
                              <w:sz w:val="28"/>
                              <w:szCs w:val="32"/>
                            </w:rPr>
                            <w:t xml:space="preserve">OBRAZLOŽENJE </w:t>
                          </w:r>
                          <w:r w:rsidR="00C10F2E" w:rsidRPr="00344311">
                            <w:rPr>
                              <w:rFonts w:asciiTheme="majorHAnsi" w:hAnsiTheme="majorHAnsi"/>
                              <w:b/>
                              <w:smallCaps/>
                              <w:sz w:val="28"/>
                              <w:szCs w:val="32"/>
                            </w:rPr>
                            <w:t>PRIJEDLOGA</w:t>
                          </w:r>
                          <w:r w:rsidRPr="00344311">
                            <w:rPr>
                              <w:rFonts w:asciiTheme="majorHAnsi" w:hAnsiTheme="majorHAnsi"/>
                              <w:b/>
                              <w:smallCaps/>
                              <w:sz w:val="28"/>
                              <w:szCs w:val="32"/>
                            </w:rPr>
                            <w:t xml:space="preserve"> ODLUKE O IZMJENAMA</w:t>
                          </w:r>
                        </w:p>
                        <w:p w:rsidR="0059403E" w:rsidRPr="00344311" w:rsidRDefault="0059403E" w:rsidP="00C10F2E">
                          <w:pPr>
                            <w:spacing w:after="0"/>
                            <w:jc w:val="center"/>
                            <w:rPr>
                              <w:rFonts w:asciiTheme="majorHAnsi" w:hAnsiTheme="majorHAnsi"/>
                              <w:b/>
                              <w:sz w:val="28"/>
                              <w:szCs w:val="32"/>
                            </w:rPr>
                          </w:pPr>
                          <w:r w:rsidRPr="00344311">
                            <w:rPr>
                              <w:rFonts w:asciiTheme="majorHAnsi" w:hAnsiTheme="majorHAnsi"/>
                              <w:b/>
                              <w:smallCaps/>
                              <w:sz w:val="28"/>
                              <w:szCs w:val="32"/>
                            </w:rPr>
                            <w:t xml:space="preserve"> I DOPUNAMA BUDŽETA FEDERACIJE BIH</w:t>
                          </w:r>
                        </w:p>
                      </w:txbxContent>
                    </v:textbox>
                  </v:shape>
                </w:pict>
              </mc:Fallback>
            </mc:AlternateContent>
          </w:r>
          <w:r w:rsidR="00E9175E" w:rsidRPr="001F212B">
            <w:rPr>
              <w:rFonts w:ascii="Arial" w:hAnsi="Arial" w:cs="Arial"/>
              <w:sz w:val="24"/>
              <w:szCs w:val="24"/>
              <w:highlight w:val="yellow"/>
              <w:lang w:eastAsia="bs-Latn-BA"/>
            </w:rPr>
            <mc:AlternateContent>
              <mc:Choice Requires="wps">
                <w:drawing>
                  <wp:anchor distT="0" distB="0" distL="114300" distR="114300" simplePos="0" relativeHeight="252019200" behindDoc="0" locked="0" layoutInCell="1" allowOverlap="1" wp14:anchorId="06B38AAD" wp14:editId="30DBC386">
                    <wp:simplePos x="0" y="0"/>
                    <wp:positionH relativeFrom="column">
                      <wp:posOffset>-352425</wp:posOffset>
                    </wp:positionH>
                    <wp:positionV relativeFrom="paragraph">
                      <wp:posOffset>142875</wp:posOffset>
                    </wp:positionV>
                    <wp:extent cx="1657350" cy="733425"/>
                    <wp:effectExtent l="19050" t="0" r="19050" b="28575"/>
                    <wp:wrapNone/>
                    <wp:docPr id="87" name="Chevron 87"/>
                    <wp:cNvGraphicFramePr/>
                    <a:graphic xmlns:a="http://schemas.openxmlformats.org/drawingml/2006/main">
                      <a:graphicData uri="http://schemas.microsoft.com/office/word/2010/wordprocessingShape">
                        <wps:wsp>
                          <wps:cNvSpPr/>
                          <wps:spPr>
                            <a:xfrm>
                              <a:off x="0" y="0"/>
                              <a:ext cx="1657350" cy="733425"/>
                            </a:xfrm>
                            <a:prstGeom prst="chevron">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9403E" w:rsidRPr="00344311" w:rsidRDefault="0059403E" w:rsidP="000905EC">
                                <w:pPr>
                                  <w:jc w:val="center"/>
                                  <w:rPr>
                                    <w:rFonts w:asciiTheme="majorHAnsi" w:hAnsiTheme="majorHAnsi"/>
                                    <w:b/>
                                    <w:sz w:val="44"/>
                                    <w:szCs w:val="76"/>
                                  </w:rPr>
                                </w:pPr>
                                <w:r w:rsidRPr="00344311">
                                  <w:rPr>
                                    <w:rFonts w:asciiTheme="majorHAnsi" w:hAnsiTheme="majorHAnsi"/>
                                    <w:b/>
                                    <w:sz w:val="44"/>
                                    <w:szCs w:val="76"/>
                                  </w:rPr>
                                  <w:t>201</w:t>
                                </w:r>
                                <w:r w:rsidR="00344311" w:rsidRPr="00344311">
                                  <w:rPr>
                                    <w:rFonts w:asciiTheme="majorHAnsi" w:hAnsiTheme="majorHAnsi"/>
                                    <w:b/>
                                    <w:sz w:val="44"/>
                                    <w:szCs w:val="7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38AAD" id="Chevron 87" o:spid="_x0000_s1027" type="#_x0000_t55" style="position:absolute;left:0;text-align:left;margin-left:-27.75pt;margin-top:11.25pt;width:130.5pt;height:57.75pt;z-index:25201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" adj="16821" fillcolor="#4e6128 [1606]" strokecolor="#4e6128 [1606]" strokeweight="2pt">
                    <v:textbox>
                      <w:txbxContent>
                        <w:p w:rsidR="0059403E" w:rsidRPr="00344311" w:rsidRDefault="0059403E" w:rsidP="000905EC">
                          <w:pPr>
                            <w:jc w:val="center"/>
                            <w:rPr>
                              <w:rFonts w:asciiTheme="majorHAnsi" w:hAnsiTheme="majorHAnsi"/>
                              <w:b/>
                              <w:sz w:val="44"/>
                              <w:szCs w:val="76"/>
                            </w:rPr>
                          </w:pPr>
                          <w:r w:rsidRPr="00344311">
                            <w:rPr>
                              <w:rFonts w:asciiTheme="majorHAnsi" w:hAnsiTheme="majorHAnsi"/>
                              <w:b/>
                              <w:sz w:val="44"/>
                              <w:szCs w:val="76"/>
                            </w:rPr>
                            <w:t>201</w:t>
                          </w:r>
                          <w:r w:rsidR="00344311" w:rsidRPr="00344311">
                            <w:rPr>
                              <w:rFonts w:asciiTheme="majorHAnsi" w:hAnsiTheme="majorHAnsi"/>
                              <w:b/>
                              <w:sz w:val="44"/>
                              <w:szCs w:val="76"/>
                            </w:rPr>
                            <w:t>6</w:t>
                          </w:r>
                        </w:p>
                      </w:txbxContent>
                    </v:textbox>
                  </v:shape>
                </w:pict>
              </mc:Fallback>
            </mc:AlternateContent>
          </w: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EF06A5" w:rsidRPr="001F212B" w:rsidRDefault="00EF06A5" w:rsidP="00A90166">
          <w:pPr>
            <w:spacing w:after="0" w:line="240" w:lineRule="auto"/>
            <w:jc w:val="center"/>
            <w:rPr>
              <w:rFonts w:ascii="Arial" w:hAnsi="Arial" w:cs="Arial"/>
              <w:sz w:val="24"/>
              <w:szCs w:val="24"/>
              <w:highlight w:val="yellow"/>
            </w:rPr>
          </w:pPr>
        </w:p>
        <w:p w:rsidR="00EF06A5" w:rsidRPr="001F212B" w:rsidRDefault="00EF06A5" w:rsidP="00A90166">
          <w:pPr>
            <w:spacing w:after="0" w:line="240" w:lineRule="auto"/>
            <w:jc w:val="center"/>
            <w:rPr>
              <w:rFonts w:ascii="Arial" w:hAnsi="Arial" w:cs="Arial"/>
              <w:sz w:val="24"/>
              <w:szCs w:val="24"/>
              <w:highlight w:val="yellow"/>
            </w:rPr>
          </w:pPr>
        </w:p>
        <w:p w:rsidR="00EF06A5" w:rsidRPr="001F212B" w:rsidRDefault="00EF06A5"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EF06A5" w:rsidRPr="001F212B" w:rsidRDefault="00EF06A5"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C03A32" w:rsidRPr="001F212B" w:rsidRDefault="00C03A32" w:rsidP="00A90166">
          <w:pPr>
            <w:spacing w:after="0" w:line="240" w:lineRule="auto"/>
            <w:jc w:val="center"/>
            <w:rPr>
              <w:rFonts w:ascii="Arial" w:hAnsi="Arial" w:cs="Arial"/>
              <w:sz w:val="24"/>
              <w:szCs w:val="24"/>
              <w:highlight w:val="yellow"/>
            </w:rPr>
          </w:pPr>
        </w:p>
        <w:p w:rsidR="00A90166" w:rsidRPr="001F212B" w:rsidRDefault="00A90166" w:rsidP="00A90166">
          <w:pPr>
            <w:spacing w:after="0" w:line="240" w:lineRule="auto"/>
            <w:jc w:val="right"/>
            <w:rPr>
              <w:rFonts w:ascii="Arial" w:hAnsi="Arial" w:cs="Arial"/>
              <w:sz w:val="24"/>
              <w:szCs w:val="24"/>
              <w:highlight w:val="yellow"/>
            </w:rPr>
          </w:pPr>
        </w:p>
        <w:p w:rsidR="004C0301" w:rsidRPr="001F212B" w:rsidRDefault="004C0301" w:rsidP="00A90166">
          <w:pPr>
            <w:spacing w:after="0" w:line="240" w:lineRule="auto"/>
            <w:jc w:val="right"/>
            <w:rPr>
              <w:rFonts w:ascii="Arial" w:hAnsi="Arial" w:cs="Arial"/>
              <w:sz w:val="24"/>
              <w:szCs w:val="24"/>
              <w:highlight w:val="yellow"/>
            </w:rPr>
          </w:pPr>
        </w:p>
        <w:p w:rsidR="004C0301" w:rsidRPr="001F212B" w:rsidRDefault="004C0301" w:rsidP="00A90166">
          <w:pPr>
            <w:spacing w:after="0" w:line="240" w:lineRule="auto"/>
            <w:jc w:val="right"/>
            <w:rPr>
              <w:rFonts w:ascii="Arial" w:hAnsi="Arial" w:cs="Arial"/>
              <w:sz w:val="24"/>
              <w:szCs w:val="24"/>
              <w:highlight w:val="yellow"/>
            </w:rPr>
          </w:pPr>
        </w:p>
        <w:p w:rsidR="00EF06A5" w:rsidRPr="001F212B" w:rsidRDefault="00EF06A5" w:rsidP="00A90166">
          <w:pPr>
            <w:spacing w:after="0" w:line="240" w:lineRule="auto"/>
            <w:jc w:val="right"/>
            <w:rPr>
              <w:rFonts w:ascii="Arial" w:hAnsi="Arial" w:cs="Arial"/>
              <w:sz w:val="24"/>
              <w:szCs w:val="24"/>
              <w:highlight w:val="yellow"/>
            </w:rPr>
          </w:pPr>
        </w:p>
        <w:p w:rsidR="00A90166" w:rsidRPr="00344311" w:rsidRDefault="00EF06A5" w:rsidP="00A90166">
          <w:pPr>
            <w:spacing w:after="0" w:line="240" w:lineRule="auto"/>
            <w:jc w:val="center"/>
            <w:rPr>
              <w:rFonts w:asciiTheme="majorHAnsi" w:hAnsiTheme="majorHAnsi" w:cs="Arial"/>
              <w:sz w:val="24"/>
              <w:szCs w:val="24"/>
            </w:rPr>
          </w:pPr>
          <w:r w:rsidRPr="00344311">
            <w:rPr>
              <w:rFonts w:asciiTheme="majorHAnsi" w:hAnsiTheme="majorHAnsi" w:cs="Arial"/>
              <w:sz w:val="24"/>
              <w:szCs w:val="24"/>
            </w:rPr>
            <w:t>Sarajevo</w:t>
          </w:r>
          <w:r w:rsidR="00C03A32" w:rsidRPr="00344311">
            <w:rPr>
              <w:rFonts w:asciiTheme="majorHAnsi" w:hAnsiTheme="majorHAnsi" w:cs="Arial"/>
              <w:sz w:val="24"/>
              <w:szCs w:val="24"/>
            </w:rPr>
            <w:t xml:space="preserve">, </w:t>
          </w:r>
          <w:r w:rsidR="00344311" w:rsidRPr="00344311">
            <w:rPr>
              <w:rFonts w:asciiTheme="majorHAnsi" w:hAnsiTheme="majorHAnsi" w:cs="Arial"/>
              <w:sz w:val="24"/>
              <w:szCs w:val="24"/>
            </w:rPr>
            <w:t>novembar</w:t>
          </w:r>
          <w:r w:rsidR="00945FB7" w:rsidRPr="00344311">
            <w:rPr>
              <w:rFonts w:asciiTheme="majorHAnsi" w:hAnsiTheme="majorHAnsi" w:cs="Arial"/>
              <w:sz w:val="24"/>
              <w:szCs w:val="24"/>
            </w:rPr>
            <w:t xml:space="preserve"> 201</w:t>
          </w:r>
          <w:r w:rsidR="00344311" w:rsidRPr="00344311">
            <w:rPr>
              <w:rFonts w:asciiTheme="majorHAnsi" w:hAnsiTheme="majorHAnsi" w:cs="Arial"/>
              <w:sz w:val="24"/>
              <w:szCs w:val="24"/>
            </w:rPr>
            <w:t>6</w:t>
          </w:r>
          <w:r w:rsidR="003E4AD6" w:rsidRPr="00344311">
            <w:rPr>
              <w:rFonts w:asciiTheme="majorHAnsi" w:hAnsiTheme="majorHAnsi" w:cs="Arial"/>
              <w:sz w:val="24"/>
              <w:szCs w:val="24"/>
            </w:rPr>
            <w:t>.</w:t>
          </w:r>
          <w:r w:rsidR="00691C41" w:rsidRPr="00344311">
            <w:rPr>
              <w:rFonts w:asciiTheme="majorHAnsi" w:hAnsiTheme="majorHAnsi" w:cs="Arial"/>
              <w:sz w:val="24"/>
              <w:szCs w:val="24"/>
            </w:rPr>
            <w:t xml:space="preserve"> </w:t>
          </w:r>
          <w:r w:rsidR="00C04CCA" w:rsidRPr="00344311">
            <w:rPr>
              <w:rFonts w:asciiTheme="majorHAnsi" w:hAnsiTheme="majorHAnsi" w:cs="Arial"/>
              <w:sz w:val="24"/>
              <w:szCs w:val="24"/>
            </w:rPr>
            <w:t>g</w:t>
          </w:r>
          <w:r w:rsidRPr="00344311">
            <w:rPr>
              <w:rFonts w:asciiTheme="majorHAnsi" w:hAnsiTheme="majorHAnsi" w:cs="Arial"/>
              <w:sz w:val="24"/>
              <w:szCs w:val="24"/>
            </w:rPr>
            <w:t>odine</w:t>
          </w:r>
        </w:p>
        <w:p w:rsidR="00DF47EF" w:rsidRPr="001F212B" w:rsidRDefault="00632CCE" w:rsidP="00DF47EF">
          <w:pPr>
            <w:spacing w:before="240" w:after="240" w:line="240" w:lineRule="auto"/>
            <w:jc w:val="both"/>
            <w:rPr>
              <w:rFonts w:ascii="Arial" w:hAnsi="Arial" w:cs="Arial"/>
              <w:sz w:val="24"/>
              <w:szCs w:val="24"/>
              <w:highlight w:val="yellow"/>
            </w:rPr>
          </w:pPr>
          <w:r w:rsidRPr="001F212B">
            <w:rPr>
              <w:rFonts w:ascii="Arial" w:hAnsi="Arial" w:cs="Arial"/>
              <w:sz w:val="24"/>
              <w:szCs w:val="24"/>
              <w:highlight w:val="yellow"/>
              <w:lang w:eastAsia="bs-Latn-BA"/>
            </w:rPr>
            <w:lastRenderedPageBreak/>
            <mc:AlternateContent>
              <mc:Choice Requires="wps">
                <w:drawing>
                  <wp:anchor distT="0" distB="0" distL="114300" distR="114300" simplePos="0" relativeHeight="251295232" behindDoc="0" locked="0" layoutInCell="0" allowOverlap="1" wp14:anchorId="79E8B9C0" wp14:editId="702B054A">
                    <wp:simplePos x="0" y="0"/>
                    <wp:positionH relativeFrom="page">
                      <wp:posOffset>638355</wp:posOffset>
                    </wp:positionH>
                    <wp:positionV relativeFrom="page">
                      <wp:posOffset>940279</wp:posOffset>
                    </wp:positionV>
                    <wp:extent cx="6586220" cy="439947"/>
                    <wp:effectExtent l="0" t="0" r="5080" b="0"/>
                    <wp:wrapNone/>
                    <wp:docPr id="12"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6220" cy="439947"/>
                            </a:xfrm>
                            <a:prstGeom prst="rect">
                              <a:avLst/>
                            </a:prstGeom>
                            <a:solidFill>
                              <a:srgbClr val="404F21">
                                <a:alpha val="89804"/>
                              </a:srgbClr>
                            </a:solidFill>
                            <a:ln>
                              <a:noFill/>
                            </a:ln>
                            <a:extLst/>
                          </wps:spPr>
                          <wps:txbx>
                            <w:txbxContent>
                              <w:tbl>
                                <w:tblPr>
                                  <w:tblW w:w="5188" w:type="pct"/>
                                  <w:tblCellMar>
                                    <w:left w:w="360" w:type="dxa"/>
                                    <w:right w:w="360" w:type="dxa"/>
                                  </w:tblCellMar>
                                  <w:tblLook w:val="04A0" w:firstRow="1" w:lastRow="0" w:firstColumn="1" w:lastColumn="0" w:noHBand="0" w:noVBand="1"/>
                                </w:tblPr>
                                <w:tblGrid>
                                  <w:gridCol w:w="1170"/>
                                  <w:gridCol w:w="8845"/>
                                </w:tblGrid>
                                <w:tr w:rsidR="0059403E" w:rsidTr="00F322BC">
                                  <w:trPr>
                                    <w:trHeight w:val="742"/>
                                  </w:trPr>
                                  <w:tc>
                                    <w:tcPr>
                                      <w:tcW w:w="584" w:type="pct"/>
                                      <w:shd w:val="clear" w:color="auto" w:fill="4F6228" w:themeFill="accent3" w:themeFillShade="80"/>
                                      <w:vAlign w:val="center"/>
                                    </w:tcPr>
                                    <w:p w:rsidR="0059403E" w:rsidRPr="000905EC" w:rsidRDefault="0059403E" w:rsidP="00CD407B">
                                      <w:pPr>
                                        <w:pStyle w:val="NoSpacing"/>
                                        <w:jc w:val="center"/>
                                        <w:rPr>
                                          <w:b/>
                                          <w:smallCaps/>
                                          <w:sz w:val="24"/>
                                          <w:szCs w:val="24"/>
                                          <w:highlight w:val="yellow"/>
                                        </w:rPr>
                                      </w:pPr>
                                    </w:p>
                                  </w:tc>
                                  <w:tc>
                                    <w:tcPr>
                                      <w:tcW w:w="4416" w:type="pct"/>
                                      <w:shd w:val="clear" w:color="auto" w:fill="C2D69B" w:themeFill="accent3" w:themeFillTint="99"/>
                                      <w:vAlign w:val="center"/>
                                    </w:tcPr>
                                    <w:p w:rsidR="0059403E" w:rsidRPr="00344311" w:rsidRDefault="0059403E" w:rsidP="00CD407B">
                                      <w:pPr>
                                        <w:pStyle w:val="NoSpacing"/>
                                        <w:rPr>
                                          <w:rFonts w:asciiTheme="majorHAnsi" w:hAnsiTheme="majorHAnsi"/>
                                          <w:b/>
                                          <w:smallCaps/>
                                          <w:color w:val="FFFFFF" w:themeColor="background1"/>
                                          <w:sz w:val="28"/>
                                          <w:szCs w:val="28"/>
                                          <w:lang w:val="de-DE"/>
                                        </w:rPr>
                                      </w:pPr>
                                      <w:r w:rsidRPr="00344311">
                                        <w:rPr>
                                          <w:rFonts w:asciiTheme="majorHAnsi" w:hAnsiTheme="majorHAnsi"/>
                                          <w:b/>
                                          <w:smallCaps/>
                                          <w:sz w:val="32"/>
                                          <w:szCs w:val="28"/>
                                          <w:lang w:val="de-DE"/>
                                        </w:rPr>
                                        <w:t>SADRŽAJ</w:t>
                                      </w:r>
                                    </w:p>
                                  </w:tc>
                                </w:tr>
                              </w:tbl>
                              <w:p w:rsidR="0059403E" w:rsidRPr="00BA0F3B" w:rsidRDefault="0059403E" w:rsidP="00DF47EF">
                                <w:pPr>
                                  <w:pStyle w:val="NoSpacing"/>
                                  <w:spacing w:line="14" w:lineRule="exact"/>
                                  <w:jc w:val="center"/>
                                  <w:rPr>
                                    <w:lang w:val="de-DE"/>
                                  </w:rPr>
                                </w:pPr>
                              </w:p>
                            </w:txbxContent>
                          </wps:txbx>
                          <wps:bodyPr rot="0" vert="horz" wrap="square" lIns="228600" tIns="0" rIns="22860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8B9C0" id="Rectangle 71" o:spid="_x0000_s1028" style="position:absolute;left:0;text-align:left;margin-left:50.25pt;margin-top:74.05pt;width:518.6pt;height:34.65pt;z-index:25129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" o:allowincell="f" fillcolor="#404f21" stroked="f">
                    <v:fill opacity="58853f"/>
                    <v:textbox inset="18pt,0,18pt,0">
                      <w:txbxContent>
                        <w:tbl>
                          <w:tblPr>
                            <w:tblW w:w="5188" w:type="pct"/>
                            <w:tblCellMar>
                              <w:left w:w="360" w:type="dxa"/>
                              <w:right w:w="360" w:type="dxa"/>
                            </w:tblCellMar>
                            <w:tblLook w:val="04A0" w:firstRow="1" w:lastRow="0" w:firstColumn="1" w:lastColumn="0" w:noHBand="0" w:noVBand="1"/>
                          </w:tblPr>
                          <w:tblGrid>
                            <w:gridCol w:w="1170"/>
                            <w:gridCol w:w="8845"/>
                          </w:tblGrid>
                          <w:tr w:rsidR="0059403E" w:rsidTr="00F322BC">
                            <w:trPr>
                              <w:trHeight w:val="742"/>
                            </w:trPr>
                            <w:tc>
                              <w:tcPr>
                                <w:tcW w:w="584" w:type="pct"/>
                                <w:shd w:val="clear" w:color="auto" w:fill="4F6228" w:themeFill="accent3" w:themeFillShade="80"/>
                                <w:vAlign w:val="center"/>
                              </w:tcPr>
                              <w:p w:rsidR="0059403E" w:rsidRPr="000905EC" w:rsidRDefault="0059403E" w:rsidP="00CD407B">
                                <w:pPr>
                                  <w:pStyle w:val="NoSpacing"/>
                                  <w:jc w:val="center"/>
                                  <w:rPr>
                                    <w:b/>
                                    <w:smallCaps/>
                                    <w:sz w:val="24"/>
                                    <w:szCs w:val="24"/>
                                    <w:highlight w:val="yellow"/>
                                  </w:rPr>
                                </w:pPr>
                              </w:p>
                            </w:tc>
                            <w:tc>
                              <w:tcPr>
                                <w:tcW w:w="4416" w:type="pct"/>
                                <w:shd w:val="clear" w:color="auto" w:fill="C2D69B" w:themeFill="accent3" w:themeFillTint="99"/>
                                <w:vAlign w:val="center"/>
                              </w:tcPr>
                              <w:p w:rsidR="0059403E" w:rsidRPr="00344311" w:rsidRDefault="0059403E" w:rsidP="00CD407B">
                                <w:pPr>
                                  <w:pStyle w:val="NoSpacing"/>
                                  <w:rPr>
                                    <w:rFonts w:asciiTheme="majorHAnsi" w:hAnsiTheme="majorHAnsi"/>
                                    <w:b/>
                                    <w:smallCaps/>
                                    <w:color w:val="FFFFFF" w:themeColor="background1"/>
                                    <w:sz w:val="28"/>
                                    <w:szCs w:val="28"/>
                                    <w:lang w:val="de-DE"/>
                                  </w:rPr>
                                </w:pPr>
                                <w:r w:rsidRPr="00344311">
                                  <w:rPr>
                                    <w:rFonts w:asciiTheme="majorHAnsi" w:hAnsiTheme="majorHAnsi"/>
                                    <w:b/>
                                    <w:smallCaps/>
                                    <w:sz w:val="32"/>
                                    <w:szCs w:val="28"/>
                                    <w:lang w:val="de-DE"/>
                                  </w:rPr>
                                  <w:t>SADRŽAJ</w:t>
                                </w:r>
                              </w:p>
                            </w:tc>
                          </w:tr>
                        </w:tbl>
                        <w:p w:rsidR="0059403E" w:rsidRPr="00BA0F3B" w:rsidRDefault="0059403E" w:rsidP="00DF47EF">
                          <w:pPr>
                            <w:pStyle w:val="NoSpacing"/>
                            <w:spacing w:line="14" w:lineRule="exact"/>
                            <w:jc w:val="center"/>
                            <w:rPr>
                              <w:lang w:val="de-DE"/>
                            </w:rPr>
                          </w:pPr>
                        </w:p>
                      </w:txbxContent>
                    </v:textbox>
                    <w10:wrap anchorx="page" anchory="page"/>
                  </v:rect>
                </w:pict>
              </mc:Fallback>
            </mc:AlternateContent>
          </w:r>
        </w:p>
        <w:p w:rsidR="004B3D57" w:rsidRDefault="004B3D57" w:rsidP="00DF47EF">
          <w:pPr>
            <w:spacing w:before="240" w:after="240" w:line="240" w:lineRule="auto"/>
            <w:jc w:val="both"/>
            <w:rPr>
              <w:rFonts w:ascii="Arial" w:hAnsi="Arial" w:cs="Arial"/>
              <w:sz w:val="24"/>
              <w:szCs w:val="24"/>
              <w:highlight w:val="yellow"/>
            </w:rPr>
          </w:pPr>
        </w:p>
        <w:p w:rsidR="003C1A08" w:rsidRPr="001F212B" w:rsidRDefault="003C1A08" w:rsidP="00DF47EF">
          <w:pPr>
            <w:spacing w:before="240" w:after="240" w:line="240" w:lineRule="auto"/>
            <w:jc w:val="both"/>
            <w:rPr>
              <w:rFonts w:ascii="Arial" w:hAnsi="Arial" w:cs="Arial"/>
              <w:sz w:val="24"/>
              <w:szCs w:val="24"/>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
            <w:gridCol w:w="7929"/>
            <w:gridCol w:w="785"/>
          </w:tblGrid>
          <w:tr w:rsidR="00DD4D51" w:rsidRPr="0055696A" w:rsidTr="003C1A08">
            <w:trPr>
              <w:trHeight w:val="624"/>
            </w:trPr>
            <w:tc>
              <w:tcPr>
                <w:tcW w:w="646" w:type="dxa"/>
                <w:vAlign w:val="center"/>
              </w:tcPr>
              <w:p w:rsidR="00DF47EF" w:rsidRPr="0055696A" w:rsidRDefault="00C34055" w:rsidP="00253056">
                <w:pPr>
                  <w:spacing w:before="120" w:after="120"/>
                  <w:jc w:val="center"/>
                  <w:rPr>
                    <w:rFonts w:asciiTheme="majorHAnsi" w:hAnsiTheme="majorHAnsi" w:cs="Arial"/>
                    <w:szCs w:val="24"/>
                  </w:rPr>
                </w:pPr>
                <w:r w:rsidRPr="0055696A">
                  <w:rPr>
                    <w:rFonts w:asciiTheme="majorHAnsi" w:hAnsiTheme="majorHAnsi" w:cs="Arial"/>
                    <w:szCs w:val="24"/>
                    <w:lang w:eastAsia="bs-Latn-BA"/>
                  </w:rPr>
                  <mc:AlternateContent>
                    <mc:Choice Requires="wps">
                      <w:drawing>
                        <wp:anchor distT="0" distB="0" distL="114300" distR="114300" simplePos="0" relativeHeight="251534848" behindDoc="0" locked="0" layoutInCell="1" allowOverlap="1" wp14:anchorId="3D76E28A" wp14:editId="14DDAF50">
                          <wp:simplePos x="0" y="0"/>
                          <wp:positionH relativeFrom="column">
                            <wp:posOffset>-20116800</wp:posOffset>
                          </wp:positionH>
                          <wp:positionV relativeFrom="paragraph">
                            <wp:posOffset>2353310</wp:posOffset>
                          </wp:positionV>
                          <wp:extent cx="349885" cy="3530600"/>
                          <wp:effectExtent l="0" t="0" r="12065" b="12700"/>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885" cy="35306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307A65B5" id="Freeform 22" o:spid="_x0000_s1026" style="position:absolute;margin-left:-22in;margin-top:185.3pt;width:27.55pt;height:278pt;z-index:2515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40,1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" path="m,l,,1,79r2,80l12,317,23,476,39,634,58,792,83,948r24,138l135,1223r5,49l138,1262,105,1106,77,949,53,792,35,634,20,476,9,317,2,159,,79,,xe" fillcolor="#1f497d [3215]" strokecolor="#1f497d [3215]" strokeweight="0">
                          <v:path arrowok="t" o:connecttype="custom" o:connectlocs="0,0;0,0;2499,219275;7498,441325;29990,879874;57481,1321199;97468,1759749;144952,2198298;207432,2631296;267412,3014333;337389,3394594;349885,3530600;344887,3502844;262414,3069846;192437,2634072;132456,2198298;87471,1759749;49984,1321199;22493,879874;4998,441325;0,219275;0,0" o:connectangles="0,0,0,0,0,0,0,0,0,0,0,0,0,0,0,0,0,0,0,0,0,0"/>
                        </v:shape>
                      </w:pict>
                    </mc:Fallback>
                  </mc:AlternateContent>
                </w:r>
                <w:r w:rsidRPr="0055696A">
                  <w:rPr>
                    <w:rFonts w:asciiTheme="majorHAnsi" w:hAnsiTheme="majorHAnsi" w:cs="Arial"/>
                    <w:szCs w:val="24"/>
                    <w:lang w:eastAsia="bs-Latn-BA"/>
                  </w:rPr>
                  <mc:AlternateContent>
                    <mc:Choice Requires="wps">
                      <w:drawing>
                        <wp:anchor distT="0" distB="0" distL="114300" distR="114300" simplePos="0" relativeHeight="251454976" behindDoc="0" locked="0" layoutInCell="1" allowOverlap="1" wp14:anchorId="179B481D" wp14:editId="3B2A2EEB">
                          <wp:simplePos x="0" y="0"/>
                          <wp:positionH relativeFrom="column">
                            <wp:posOffset>-20116800</wp:posOffset>
                          </wp:positionH>
                          <wp:positionV relativeFrom="paragraph">
                            <wp:posOffset>7062470</wp:posOffset>
                          </wp:positionV>
                          <wp:extent cx="289560" cy="746125"/>
                          <wp:effectExtent l="0" t="0" r="15240" b="15875"/>
                          <wp:wrapNone/>
                          <wp:docPr id="2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9560" cy="746125"/>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4F193614" id="Freeform 21" o:spid="_x0000_s1026" style="position:absolute;margin-left:-22in;margin-top:556.1pt;width:22.8pt;height:58.75pt;z-index:2514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6,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" path="m,l8,19,37,93r30,74l116,269r-8,l60,169,30,98,1,25,,xe" fillcolor="#1f497d [3215]" strokecolor="#1f497d [3215]" strokeweight="0">
                          <v:path arrowok="t" o:connecttype="custom" o:connectlocs="0,0;19970,52700;92360,257954;167246,463208;289560,746125;269590,746125;149772,468755;74886,271822;2496,69342;0,0" o:connectangles="0,0,0,0,0,0,0,0,0,0"/>
                        </v:shape>
                      </w:pict>
                    </mc:Fallback>
                  </mc:AlternateContent>
                </w:r>
                <w:r w:rsidRPr="0055696A">
                  <w:rPr>
                    <w:rFonts w:asciiTheme="majorHAnsi" w:hAnsiTheme="majorHAnsi" w:cs="Arial"/>
                    <w:szCs w:val="24"/>
                    <w:lang w:eastAsia="bs-Latn-BA"/>
                  </w:rPr>
                  <mc:AlternateContent>
                    <mc:Choice Requires="wps">
                      <w:drawing>
                        <wp:anchor distT="0" distB="0" distL="114300" distR="114300" simplePos="0" relativeHeight="251614720" behindDoc="0" locked="0" layoutInCell="1" allowOverlap="1" wp14:anchorId="5C56B18E" wp14:editId="04E679AB">
                          <wp:simplePos x="0" y="0"/>
                          <wp:positionH relativeFrom="column">
                            <wp:posOffset>-20116800</wp:posOffset>
                          </wp:positionH>
                          <wp:positionV relativeFrom="paragraph">
                            <wp:posOffset>4938395</wp:posOffset>
                          </wp:positionV>
                          <wp:extent cx="984885" cy="2125980"/>
                          <wp:effectExtent l="0" t="0" r="24765" b="2667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885" cy="2125980"/>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12B9810F" id="Freeform 27" o:spid="_x0000_s1026" style="position:absolute;margin-left:-22in;margin-top:388.85pt;width:77.55pt;height:167.4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39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" path="m394,r,l356,38,319,77r-35,40l249,160r-42,58l168,276r-37,63l98,402,69,467,45,535,26,604,14,673,7,746,6,766,,749r1,-5l7,673,21,603,40,533,65,466,94,400r33,-64l164,275r40,-60l248,158r34,-42l318,76,354,37,394,xe" fillcolor="#1f497d [3215]" strokecolor="#1f497d [3215]" strokeweight="0">
                          <v:path arrowok="t" o:connecttype="custom" o:connectlocs="984885,0;984885,0;889896,105466;797407,213708;709917,324725;622427,444069;517440,605044;419951,766019;327462,940871;244971,1115723;172480,1296126;112487,1484855;64992,1676360;34996,1867865;17498,2070471;14998,2125980;0,2078798;2500,2064921;17498,1867865;52494,1673585;99988,1479305;162481,1293351;234973,1110172;317463,932545;409952,763243;509940,596718;619928,438518;704918,321950;794907,210933;884897,102691;984885,0" o:connectangles="0,0,0,0,0,0,0,0,0,0,0,0,0,0,0,0,0,0,0,0,0,0,0,0,0,0,0,0,0,0,0"/>
                        </v:shape>
                      </w:pict>
                    </mc:Fallback>
                  </mc:AlternateContent>
                </w:r>
                <w:r w:rsidRPr="0055696A">
                  <w:rPr>
                    <w:rFonts w:asciiTheme="majorHAnsi" w:hAnsiTheme="majorHAnsi" w:cs="Arial"/>
                    <w:szCs w:val="24"/>
                    <w:lang w:eastAsia="bs-Latn-BA"/>
                  </w:rPr>
                  <mc:AlternateContent>
                    <mc:Choice Requires="wps">
                      <w:drawing>
                        <wp:anchor distT="0" distB="0" distL="114300" distR="114300" simplePos="0" relativeHeight="251695616" behindDoc="0" locked="0" layoutInCell="1" allowOverlap="1" wp14:anchorId="18D649E0" wp14:editId="6FDCC50E">
                          <wp:simplePos x="0" y="0"/>
                          <wp:positionH relativeFrom="column">
                            <wp:posOffset>-20116800</wp:posOffset>
                          </wp:positionH>
                          <wp:positionV relativeFrom="paragraph">
                            <wp:posOffset>4833620</wp:posOffset>
                          </wp:positionV>
                          <wp:extent cx="466725" cy="1864995"/>
                          <wp:effectExtent l="0" t="0" r="28575" b="20955"/>
                          <wp:wrapNone/>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6725" cy="186499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3FDEFA76" id="Freeform 7" o:spid="_x0000_s1026" style="position:absolute;margin-left:-22in;margin-top:380.6pt;width:36.75pt;height:146.8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25,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" path="m,l41,155,86,309r39,116l125,450,79,311,41,183,7,54,,xe" fillcolor="#1f497d [3215]" strokecolor="#1f497d [3215]" strokeweight="0">
                          <v:fill opacity="13107f"/>
                          <v:stroke opacity="13107f"/>
                          <v:path arrowok="t" o:connecttype="custom" o:connectlocs="0,0;153086,642387;321107,1280630;466725,1761384;466725,1864995;294970,1288919;153086,758431;26137,223799;0,0" o:connectangles="0,0,0,0,0,0,0,0,0"/>
                        </v:shape>
                      </w:pict>
                    </mc:Fallback>
                  </mc:AlternateContent>
                </w:r>
                <w:r w:rsidRPr="0055696A">
                  <w:rPr>
                    <w:rFonts w:asciiTheme="majorHAnsi" w:hAnsiTheme="majorHAnsi" w:cs="Arial"/>
                    <w:szCs w:val="24"/>
                    <w:lang w:eastAsia="bs-Latn-BA"/>
                  </w:rPr>
                  <mc:AlternateContent>
                    <mc:Choice Requires="wps">
                      <w:drawing>
                        <wp:anchor distT="0" distB="0" distL="114300" distR="114300" simplePos="0" relativeHeight="251779584" behindDoc="0" locked="0" layoutInCell="1" allowOverlap="1" wp14:anchorId="03808A26" wp14:editId="75408208">
                          <wp:simplePos x="0" y="0"/>
                          <wp:positionH relativeFrom="column">
                            <wp:posOffset>-20116800</wp:posOffset>
                          </wp:positionH>
                          <wp:positionV relativeFrom="paragraph">
                            <wp:posOffset>6671945</wp:posOffset>
                          </wp:positionV>
                          <wp:extent cx="440055" cy="1139825"/>
                          <wp:effectExtent l="0" t="0" r="17145" b="2222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0055" cy="1139825"/>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4D54AEE5" id="Freeform 15" o:spid="_x0000_s1026" style="position:absolute;margin-left:-22in;margin-top:525.35pt;width:34.65pt;height:89.7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8,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" path="m,l8,20,37,96r32,74l118,275r-9,l61,174,30,100,,26,,xe" fillcolor="#1f497d [3215]" strokecolor="#1f497d [3215]" strokeweight="0">
                          <v:fill opacity="13107f"/>
                          <v:stroke opacity="13107f"/>
                          <v:path arrowok="t" o:connecttype="custom" o:connectlocs="0,0;29834,82896;137983,397903;257320,704619;440055,1139825;406491,1139825;227486,721198;111878,414482;0,107765;0,0" o:connectangles="0,0,0,0,0,0,0,0,0,0"/>
                        </v:shape>
                      </w:pict>
                    </mc:Fallback>
                  </mc:AlternateContent>
                </w:r>
                <w:r w:rsidRPr="0055696A">
                  <w:rPr>
                    <w:rFonts w:asciiTheme="majorHAnsi" w:hAnsiTheme="majorHAnsi" w:cs="Arial"/>
                    <w:szCs w:val="24"/>
                    <w:lang w:eastAsia="bs-Latn-BA"/>
                  </w:rPr>
                  <mc:AlternateContent>
                    <mc:Choice Requires="wps">
                      <w:drawing>
                        <wp:anchor distT="0" distB="0" distL="114300" distR="114300" simplePos="0" relativeHeight="251859456" behindDoc="0" locked="0" layoutInCell="1" allowOverlap="1" wp14:anchorId="46C96FE1" wp14:editId="38D5F80F">
                          <wp:simplePos x="0" y="0"/>
                          <wp:positionH relativeFrom="column">
                            <wp:posOffset>-20116800</wp:posOffset>
                          </wp:positionH>
                          <wp:positionV relativeFrom="paragraph">
                            <wp:posOffset>4871720</wp:posOffset>
                          </wp:positionV>
                          <wp:extent cx="589915" cy="2665095"/>
                          <wp:effectExtent l="0" t="0" r="19685" b="20955"/>
                          <wp:wrapNone/>
                          <wp:docPr id="16"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915" cy="2665095"/>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03974A37" id="Freeform 16" o:spid="_x0000_s1026" style="position:absolute;margin-left:-22in;margin-top:383.6pt;width:46.45pt;height:209.8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58,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" path="m,l11,46r11,83l36,211r19,90l76,389r27,87l123,533r21,55l155,632r3,11l142,608,118,544,95,478,69,391,47,302,29,212,13,107,,xe" fillcolor="#1f497d [3215]" strokecolor="#1f497d [3215]" strokeweight="0">
                          <v:fill opacity="13107f"/>
                          <v:stroke opacity="13107f"/>
                          <v:path arrowok="t" o:connecttype="custom" o:connectlocs="0,0;41070,190660;82140,534677;134411,874549;205350,1247579;283757,1612320;384565,1972916;459238,2209169;537644,2437132;578714,2619502;589915,2665095;530177,2520028;440569,2254762;354696,1981206;257621,1620610;175481,1251724;108276,878694;48537,443492;0,0" o:connectangles="0,0,0,0,0,0,0,0,0,0,0,0,0,0,0,0,0,0,0"/>
                        </v:shape>
                      </w:pict>
                    </mc:Fallback>
                  </mc:AlternateContent>
                </w:r>
                <w:r w:rsidRPr="0055696A">
                  <w:rPr>
                    <w:rFonts w:asciiTheme="majorHAnsi" w:hAnsiTheme="majorHAnsi" w:cs="Arial"/>
                    <w:szCs w:val="24"/>
                    <w:lang w:eastAsia="bs-Latn-BA"/>
                  </w:rPr>
                  <mc:AlternateContent>
                    <mc:Choice Requires="wps">
                      <w:drawing>
                        <wp:anchor distT="0" distB="0" distL="114300" distR="114300" simplePos="0" relativeHeight="251939328" behindDoc="0" locked="0" layoutInCell="1" allowOverlap="1" wp14:anchorId="039A31D1" wp14:editId="4D75D4A6">
                          <wp:simplePos x="0" y="0"/>
                          <wp:positionH relativeFrom="column">
                            <wp:posOffset>-20116800</wp:posOffset>
                          </wp:positionH>
                          <wp:positionV relativeFrom="paragraph">
                            <wp:posOffset>3429000</wp:posOffset>
                          </wp:positionV>
                          <wp:extent cx="1500505" cy="3241040"/>
                          <wp:effectExtent l="0" t="0" r="23495" b="16510"/>
                          <wp:wrapNone/>
                          <wp:docPr id="1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00505" cy="3241040"/>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0666A78" id="Freeform 17" o:spid="_x0000_s1026" style="position:absolute;margin-left:-22in;margin-top:270pt;width:118.15pt;height:255.2pt;z-index:2519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02,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" path="m402,r,1l363,39,325,79r-35,42l255,164r-44,58l171,284r-38,62l100,411,71,478,45,546,27,617,13,689,7,761r,21l,765r1,-4l7,688,21,616,40,545,66,475,95,409r35,-66l167,281r42,-61l253,163r34,-43l324,78,362,38,402,xe" fillcolor="#1f497d [3215]" strokecolor="#1f497d [3215]" strokeweight="0">
                          <v:fill opacity="13107f"/>
                          <v:stroke opacity="13107f"/>
                          <v:path arrowok="t" o:connecttype="custom" o:connectlocs="1500505,0;1500505,4145;1354934,161638;1213095,327420;1082454,501491;951813,679707;787578,920091;638275,1177053;496436,1434015;373260,1703411;265015,1981096;167967,2262926;100780,2557189;48524,2855597;26128,3154004;26128,3241040;0,3170583;3733,3154004;26128,2851452;78385,2553044;149304,2258781;246352,1968662;354597,1695122;485238,1421581;623344,1164619;780113,911802;944348,675562;1071256,497346;1209362,323275;1351201,157493;1500505,0" o:connectangles="0,0,0,0,0,0,0,0,0,0,0,0,0,0,0,0,0,0,0,0,0,0,0,0,0,0,0,0,0,0,0"/>
                        </v:shape>
                      </w:pict>
                    </mc:Fallback>
                  </mc:AlternateContent>
                </w:r>
                <w:r w:rsidR="00DF47EF" w:rsidRPr="0055696A">
                  <w:rPr>
                    <w:rFonts w:asciiTheme="majorHAnsi" w:hAnsiTheme="majorHAnsi" w:cs="Arial"/>
                    <w:szCs w:val="24"/>
                  </w:rPr>
                  <w:t>1.</w:t>
                </w:r>
              </w:p>
            </w:tc>
            <w:tc>
              <w:tcPr>
                <w:tcW w:w="7929" w:type="dxa"/>
                <w:vAlign w:val="center"/>
              </w:tcPr>
              <w:p w:rsidR="00DF47EF" w:rsidRPr="0055696A" w:rsidRDefault="00DF47EF" w:rsidP="00B23F06">
                <w:pPr>
                  <w:spacing w:before="120" w:after="120"/>
                  <w:jc w:val="both"/>
                  <w:rPr>
                    <w:rFonts w:asciiTheme="majorHAnsi" w:hAnsiTheme="majorHAnsi" w:cs="Arial"/>
                    <w:szCs w:val="24"/>
                  </w:rPr>
                </w:pPr>
                <w:r w:rsidRPr="0055696A">
                  <w:rPr>
                    <w:rFonts w:asciiTheme="majorHAnsi" w:hAnsiTheme="majorHAnsi" w:cs="Arial"/>
                    <w:szCs w:val="24"/>
                  </w:rPr>
                  <w:t>UVOD</w:t>
                </w:r>
                <w:r w:rsidR="00253056" w:rsidRPr="0055696A">
                  <w:rPr>
                    <w:rFonts w:asciiTheme="majorHAnsi" w:hAnsiTheme="majorHAnsi" w:cs="Arial"/>
                    <w:szCs w:val="24"/>
                  </w:rPr>
                  <w:t xml:space="preserve"> ..................................................................</w:t>
                </w:r>
                <w:r w:rsidR="00BE1BC8"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p>
            </w:tc>
            <w:tc>
              <w:tcPr>
                <w:tcW w:w="785" w:type="dxa"/>
                <w:vAlign w:val="center"/>
              </w:tcPr>
              <w:p w:rsidR="00DF47EF" w:rsidRPr="0055696A" w:rsidRDefault="00253056" w:rsidP="00253056">
                <w:pPr>
                  <w:spacing w:before="120" w:after="120"/>
                  <w:jc w:val="right"/>
                  <w:rPr>
                    <w:rFonts w:asciiTheme="majorHAnsi" w:hAnsiTheme="majorHAnsi" w:cs="Arial"/>
                    <w:szCs w:val="24"/>
                    <w:highlight w:val="magenta"/>
                  </w:rPr>
                </w:pPr>
                <w:r w:rsidRPr="0055696A">
                  <w:rPr>
                    <w:rFonts w:asciiTheme="majorHAnsi" w:hAnsiTheme="majorHAnsi" w:cs="Arial"/>
                    <w:szCs w:val="24"/>
                  </w:rPr>
                  <w:t>2</w:t>
                </w:r>
              </w:p>
            </w:tc>
          </w:tr>
          <w:tr w:rsidR="00231623" w:rsidRPr="0055696A" w:rsidTr="003C1A08">
            <w:trPr>
              <w:trHeight w:val="624"/>
            </w:trPr>
            <w:tc>
              <w:tcPr>
                <w:tcW w:w="646" w:type="dxa"/>
                <w:vAlign w:val="center"/>
              </w:tcPr>
              <w:p w:rsidR="00231623" w:rsidRPr="0055696A" w:rsidRDefault="00231623" w:rsidP="00253056">
                <w:pPr>
                  <w:spacing w:before="120" w:after="120"/>
                  <w:jc w:val="center"/>
                  <w:rPr>
                    <w:rFonts w:asciiTheme="majorHAnsi" w:hAnsiTheme="majorHAnsi" w:cs="Arial"/>
                    <w:szCs w:val="24"/>
                  </w:rPr>
                </w:pPr>
                <w:r>
                  <w:rPr>
                    <w:rFonts w:asciiTheme="majorHAnsi" w:hAnsiTheme="majorHAnsi" w:cs="Arial"/>
                    <w:szCs w:val="24"/>
                  </w:rPr>
                  <w:t>2.</w:t>
                </w:r>
              </w:p>
            </w:tc>
            <w:tc>
              <w:tcPr>
                <w:tcW w:w="7929" w:type="dxa"/>
                <w:vAlign w:val="center"/>
              </w:tcPr>
              <w:p w:rsidR="00231623" w:rsidRPr="0055696A" w:rsidRDefault="00231623" w:rsidP="005E7F90">
                <w:pPr>
                  <w:spacing w:before="120" w:after="120"/>
                  <w:jc w:val="both"/>
                  <w:rPr>
                    <w:rFonts w:asciiTheme="majorHAnsi" w:hAnsiTheme="majorHAnsi" w:cs="Arial"/>
                    <w:szCs w:val="24"/>
                  </w:rPr>
                </w:pPr>
                <w:r>
                  <w:rPr>
                    <w:rFonts w:asciiTheme="majorHAnsi" w:hAnsiTheme="majorHAnsi" w:cs="Arial"/>
                    <w:szCs w:val="24"/>
                  </w:rPr>
                  <w:t>MAKROEKONOMSKI POKAZATELJI ....................................................................................</w:t>
                </w:r>
              </w:p>
            </w:tc>
            <w:tc>
              <w:tcPr>
                <w:tcW w:w="785" w:type="dxa"/>
                <w:vAlign w:val="center"/>
              </w:tcPr>
              <w:p w:rsidR="00231623"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4</w:t>
                </w:r>
              </w:p>
            </w:tc>
          </w:tr>
          <w:tr w:rsidR="00DD4D51" w:rsidRPr="0055696A" w:rsidTr="003C1A08">
            <w:trPr>
              <w:trHeight w:val="624"/>
            </w:trPr>
            <w:tc>
              <w:tcPr>
                <w:tcW w:w="646" w:type="dxa"/>
                <w:vAlign w:val="center"/>
              </w:tcPr>
              <w:p w:rsidR="00DF47EF" w:rsidRPr="0055696A" w:rsidRDefault="000F5238" w:rsidP="00253056">
                <w:pPr>
                  <w:spacing w:before="120" w:after="120"/>
                  <w:jc w:val="center"/>
                  <w:rPr>
                    <w:rFonts w:asciiTheme="majorHAnsi" w:hAnsiTheme="majorHAnsi" w:cs="Arial"/>
                    <w:szCs w:val="24"/>
                  </w:rPr>
                </w:pPr>
                <w:r>
                  <w:rPr>
                    <w:rFonts w:asciiTheme="majorHAnsi" w:hAnsiTheme="majorHAnsi" w:cs="Arial"/>
                    <w:szCs w:val="24"/>
                  </w:rPr>
                  <w:t>3</w:t>
                </w:r>
                <w:r w:rsidR="00DF47EF" w:rsidRPr="0055696A">
                  <w:rPr>
                    <w:rFonts w:asciiTheme="majorHAnsi" w:hAnsiTheme="majorHAnsi" w:cs="Arial"/>
                    <w:szCs w:val="24"/>
                  </w:rPr>
                  <w:t>.</w:t>
                </w:r>
              </w:p>
            </w:tc>
            <w:tc>
              <w:tcPr>
                <w:tcW w:w="7929" w:type="dxa"/>
                <w:vAlign w:val="center"/>
              </w:tcPr>
              <w:p w:rsidR="00DF47EF" w:rsidRPr="0055696A" w:rsidRDefault="00EC1D98" w:rsidP="005E7F90">
                <w:pPr>
                  <w:spacing w:before="120" w:after="120"/>
                  <w:jc w:val="both"/>
                  <w:rPr>
                    <w:rFonts w:asciiTheme="majorHAnsi" w:hAnsiTheme="majorHAnsi" w:cs="Arial"/>
                    <w:szCs w:val="24"/>
                  </w:rPr>
                </w:pPr>
                <w:r w:rsidRPr="0055696A">
                  <w:rPr>
                    <w:rFonts w:asciiTheme="majorHAnsi" w:hAnsiTheme="majorHAnsi" w:cs="Arial"/>
                    <w:szCs w:val="24"/>
                  </w:rPr>
                  <w:t xml:space="preserve">STRUKTURA </w:t>
                </w:r>
                <w:r w:rsidR="00871C94" w:rsidRPr="0055696A">
                  <w:rPr>
                    <w:rFonts w:asciiTheme="majorHAnsi" w:hAnsiTheme="majorHAnsi" w:cs="Arial"/>
                    <w:szCs w:val="24"/>
                  </w:rPr>
                  <w:t>PRIJEDLOGA</w:t>
                </w:r>
                <w:r w:rsidR="002873EC" w:rsidRPr="0055696A">
                  <w:rPr>
                    <w:rFonts w:asciiTheme="majorHAnsi" w:hAnsiTheme="majorHAnsi" w:cs="Arial"/>
                    <w:szCs w:val="24"/>
                  </w:rPr>
                  <w:t xml:space="preserve"> ODLUKE O IZMJENAMA I DOPUNAMA</w:t>
                </w:r>
                <w:r w:rsidR="00CC0725" w:rsidRPr="0055696A">
                  <w:rPr>
                    <w:rFonts w:asciiTheme="majorHAnsi" w:hAnsiTheme="majorHAnsi" w:cs="Arial"/>
                    <w:szCs w:val="24"/>
                  </w:rPr>
                  <w:t xml:space="preserve"> </w:t>
                </w:r>
                <w:r w:rsidR="009D0F02" w:rsidRPr="0055696A">
                  <w:rPr>
                    <w:rFonts w:asciiTheme="majorHAnsi" w:hAnsiTheme="majorHAnsi" w:cs="Arial"/>
                    <w:szCs w:val="24"/>
                  </w:rPr>
                  <w:t>BUDŽETA</w:t>
                </w:r>
                <w:r w:rsidR="00CC0725" w:rsidRPr="0055696A">
                  <w:rPr>
                    <w:rFonts w:asciiTheme="majorHAnsi" w:hAnsiTheme="majorHAnsi" w:cs="Arial"/>
                    <w:szCs w:val="24"/>
                  </w:rPr>
                  <w:t xml:space="preserve"> F</w:t>
                </w:r>
                <w:r w:rsidR="002873EC" w:rsidRPr="0055696A">
                  <w:rPr>
                    <w:rFonts w:asciiTheme="majorHAnsi" w:hAnsiTheme="majorHAnsi" w:cs="Arial"/>
                    <w:szCs w:val="24"/>
                  </w:rPr>
                  <w:t xml:space="preserve">EDERACIJE </w:t>
                </w:r>
                <w:r w:rsidR="00CC0725" w:rsidRPr="0055696A">
                  <w:rPr>
                    <w:rFonts w:asciiTheme="majorHAnsi" w:hAnsiTheme="majorHAnsi" w:cs="Arial"/>
                    <w:szCs w:val="24"/>
                  </w:rPr>
                  <w:t>BIH</w:t>
                </w:r>
                <w:r w:rsidR="009D0F02" w:rsidRPr="0055696A">
                  <w:rPr>
                    <w:rFonts w:asciiTheme="majorHAnsi" w:hAnsiTheme="majorHAnsi" w:cs="Arial"/>
                    <w:szCs w:val="24"/>
                  </w:rPr>
                  <w:t xml:space="preserve"> ZA 201</w:t>
                </w:r>
                <w:r w:rsidR="005E7F90" w:rsidRPr="0055696A">
                  <w:rPr>
                    <w:rFonts w:asciiTheme="majorHAnsi" w:hAnsiTheme="majorHAnsi" w:cs="Arial"/>
                    <w:szCs w:val="24"/>
                  </w:rPr>
                  <w:t>6</w:t>
                </w:r>
                <w:r w:rsidR="00DF47EF" w:rsidRPr="0055696A">
                  <w:rPr>
                    <w:rFonts w:asciiTheme="majorHAnsi" w:hAnsiTheme="majorHAnsi" w:cs="Arial"/>
                    <w:szCs w:val="24"/>
                  </w:rPr>
                  <w:t>. GODINU</w:t>
                </w:r>
                <w:r w:rsidR="00253056" w:rsidRPr="0055696A">
                  <w:rPr>
                    <w:rFonts w:asciiTheme="majorHAnsi" w:hAnsiTheme="majorHAnsi" w:cs="Arial"/>
                    <w:szCs w:val="24"/>
                  </w:rPr>
                  <w:t xml:space="preserve"> ...</w:t>
                </w:r>
                <w:r w:rsidR="00871C94" w:rsidRPr="0055696A">
                  <w:rPr>
                    <w:rFonts w:asciiTheme="majorHAnsi" w:hAnsiTheme="majorHAnsi" w:cs="Arial"/>
                    <w:szCs w:val="24"/>
                  </w:rPr>
                  <w:t>.</w:t>
                </w:r>
                <w:r w:rsidR="004C0301" w:rsidRPr="0055696A">
                  <w:rPr>
                    <w:rFonts w:asciiTheme="majorHAnsi" w:hAnsiTheme="majorHAnsi" w:cs="Arial"/>
                    <w:szCs w:val="24"/>
                  </w:rPr>
                  <w:t>.</w:t>
                </w:r>
                <w:r w:rsidR="0005292C" w:rsidRPr="0055696A">
                  <w:rPr>
                    <w:rFonts w:asciiTheme="majorHAnsi" w:hAnsiTheme="majorHAnsi" w:cs="Arial"/>
                    <w:szCs w:val="24"/>
                  </w:rPr>
                  <w:t>..</w:t>
                </w:r>
                <w:r w:rsidRPr="0055696A">
                  <w:rPr>
                    <w:rFonts w:asciiTheme="majorHAnsi" w:hAnsiTheme="majorHAnsi" w:cs="Arial"/>
                    <w:szCs w:val="24"/>
                  </w:rPr>
                  <w:t>....</w:t>
                </w:r>
                <w:r w:rsidR="00253056" w:rsidRPr="0055696A">
                  <w:rPr>
                    <w:rFonts w:asciiTheme="majorHAnsi" w:hAnsiTheme="majorHAnsi" w:cs="Arial"/>
                    <w:szCs w:val="24"/>
                  </w:rPr>
                  <w:t>.</w:t>
                </w:r>
                <w:r w:rsidR="002873EC"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highlight w:val="magenta"/>
                  </w:rPr>
                </w:pPr>
                <w:r w:rsidRPr="000F5238">
                  <w:rPr>
                    <w:rFonts w:asciiTheme="majorHAnsi" w:hAnsiTheme="majorHAnsi" w:cs="Arial"/>
                    <w:szCs w:val="24"/>
                  </w:rPr>
                  <w:t>6</w:t>
                </w:r>
              </w:p>
            </w:tc>
          </w:tr>
          <w:tr w:rsidR="00DD4D51" w:rsidRPr="0055696A" w:rsidTr="003C1A08">
            <w:trPr>
              <w:trHeight w:val="624"/>
            </w:trPr>
            <w:tc>
              <w:tcPr>
                <w:tcW w:w="646" w:type="dxa"/>
                <w:vAlign w:val="center"/>
              </w:tcPr>
              <w:p w:rsidR="00DF47EF" w:rsidRPr="0055696A" w:rsidRDefault="000F5238" w:rsidP="00253056">
                <w:pPr>
                  <w:spacing w:before="120" w:after="120"/>
                  <w:jc w:val="center"/>
                  <w:rPr>
                    <w:rFonts w:asciiTheme="majorHAnsi" w:hAnsiTheme="majorHAnsi" w:cs="Arial"/>
                    <w:szCs w:val="24"/>
                  </w:rPr>
                </w:pPr>
                <w:r>
                  <w:rPr>
                    <w:rFonts w:asciiTheme="majorHAnsi" w:hAnsiTheme="majorHAnsi" w:cs="Arial"/>
                    <w:szCs w:val="24"/>
                  </w:rPr>
                  <w:t>4</w:t>
                </w:r>
                <w:r w:rsidR="00DF47EF" w:rsidRPr="0055696A">
                  <w:rPr>
                    <w:rFonts w:asciiTheme="majorHAnsi" w:hAnsiTheme="majorHAnsi" w:cs="Arial"/>
                    <w:szCs w:val="24"/>
                  </w:rPr>
                  <w:t>.</w:t>
                </w:r>
              </w:p>
            </w:tc>
            <w:tc>
              <w:tcPr>
                <w:tcW w:w="7929" w:type="dxa"/>
                <w:vAlign w:val="center"/>
              </w:tcPr>
              <w:p w:rsidR="00DF47EF" w:rsidRPr="0055696A" w:rsidRDefault="00DF47EF" w:rsidP="00253056">
                <w:pPr>
                  <w:spacing w:before="120" w:after="120"/>
                  <w:jc w:val="both"/>
                  <w:rPr>
                    <w:rFonts w:asciiTheme="majorHAnsi" w:hAnsiTheme="majorHAnsi" w:cs="Arial"/>
                    <w:szCs w:val="24"/>
                  </w:rPr>
                </w:pPr>
                <w:r w:rsidRPr="0055696A">
                  <w:rPr>
                    <w:rFonts w:asciiTheme="majorHAnsi" w:hAnsiTheme="majorHAnsi" w:cs="Arial"/>
                    <w:szCs w:val="24"/>
                  </w:rPr>
                  <w:t>PRIHODI I PRIMICI</w:t>
                </w:r>
                <w:r w:rsidR="00253056" w:rsidRPr="0055696A">
                  <w:rPr>
                    <w:rFonts w:asciiTheme="majorHAnsi" w:hAnsiTheme="majorHAnsi" w:cs="Arial"/>
                    <w:szCs w:val="24"/>
                  </w:rPr>
                  <w:t xml:space="preserve"> ..................</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highlight w:val="magenta"/>
                  </w:rPr>
                </w:pPr>
                <w:r>
                  <w:rPr>
                    <w:rFonts w:asciiTheme="majorHAnsi" w:hAnsiTheme="majorHAnsi" w:cs="Arial"/>
                    <w:szCs w:val="24"/>
                  </w:rPr>
                  <w:t>9</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DF47EF" w:rsidP="00253056">
                <w:pPr>
                  <w:spacing w:before="120" w:after="120"/>
                  <w:jc w:val="both"/>
                  <w:rPr>
                    <w:rFonts w:asciiTheme="majorHAnsi" w:hAnsiTheme="majorHAnsi" w:cs="Arial"/>
                    <w:szCs w:val="24"/>
                  </w:rPr>
                </w:pPr>
                <w:r w:rsidRPr="0055696A">
                  <w:rPr>
                    <w:rFonts w:asciiTheme="majorHAnsi" w:hAnsiTheme="majorHAnsi" w:cs="Arial"/>
                    <w:szCs w:val="24"/>
                  </w:rPr>
                  <w:t>3.1. Struktura prihoda i primitaka</w:t>
                </w:r>
                <w:r w:rsidR="00253056" w:rsidRPr="0055696A">
                  <w:rPr>
                    <w:rFonts w:asciiTheme="majorHAnsi" w:hAnsiTheme="majorHAnsi" w:cs="Arial"/>
                    <w:szCs w:val="24"/>
                  </w:rPr>
                  <w:t xml:space="preserve"> ............................</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highlight w:val="magenta"/>
                  </w:rPr>
                </w:pPr>
                <w:r>
                  <w:rPr>
                    <w:rFonts w:asciiTheme="majorHAnsi" w:hAnsiTheme="majorHAnsi" w:cs="Arial"/>
                    <w:szCs w:val="24"/>
                  </w:rPr>
                  <w:t>10</w:t>
                </w:r>
              </w:p>
            </w:tc>
          </w:tr>
          <w:tr w:rsidR="00DD4D51" w:rsidRPr="0055696A" w:rsidTr="003C1A08">
            <w:trPr>
              <w:trHeight w:val="624"/>
            </w:trPr>
            <w:tc>
              <w:tcPr>
                <w:tcW w:w="646" w:type="dxa"/>
                <w:vAlign w:val="center"/>
              </w:tcPr>
              <w:p w:rsidR="00DF47EF" w:rsidRPr="0055696A" w:rsidRDefault="000F5238" w:rsidP="00253056">
                <w:pPr>
                  <w:spacing w:before="120" w:after="120"/>
                  <w:jc w:val="center"/>
                  <w:rPr>
                    <w:rFonts w:asciiTheme="majorHAnsi" w:hAnsiTheme="majorHAnsi" w:cs="Arial"/>
                    <w:szCs w:val="24"/>
                  </w:rPr>
                </w:pPr>
                <w:r>
                  <w:rPr>
                    <w:rFonts w:asciiTheme="majorHAnsi" w:hAnsiTheme="majorHAnsi" w:cs="Arial"/>
                    <w:szCs w:val="24"/>
                  </w:rPr>
                  <w:t>5</w:t>
                </w:r>
                <w:r w:rsidR="00DF47EF" w:rsidRPr="0055696A">
                  <w:rPr>
                    <w:rFonts w:asciiTheme="majorHAnsi" w:hAnsiTheme="majorHAnsi" w:cs="Arial"/>
                    <w:szCs w:val="24"/>
                  </w:rPr>
                  <w:t>.</w:t>
                </w:r>
              </w:p>
            </w:tc>
            <w:tc>
              <w:tcPr>
                <w:tcW w:w="7929" w:type="dxa"/>
                <w:vAlign w:val="center"/>
              </w:tcPr>
              <w:p w:rsidR="00DF47EF" w:rsidRPr="0055696A" w:rsidRDefault="00DF47EF" w:rsidP="00253056">
                <w:pPr>
                  <w:spacing w:before="120" w:after="120"/>
                  <w:jc w:val="both"/>
                  <w:rPr>
                    <w:rFonts w:asciiTheme="majorHAnsi" w:hAnsiTheme="majorHAnsi" w:cs="Arial"/>
                    <w:szCs w:val="24"/>
                  </w:rPr>
                </w:pPr>
                <w:r w:rsidRPr="0055696A">
                  <w:rPr>
                    <w:rFonts w:asciiTheme="majorHAnsi" w:hAnsiTheme="majorHAnsi" w:cs="Arial"/>
                    <w:szCs w:val="24"/>
                  </w:rPr>
                  <w:t>RASHODI I IZDACI</w:t>
                </w:r>
                <w:r w:rsidR="00253056" w:rsidRPr="0055696A">
                  <w:rPr>
                    <w:rFonts w:asciiTheme="majorHAnsi" w:hAnsiTheme="majorHAnsi" w:cs="Arial"/>
                    <w:szCs w:val="24"/>
                  </w:rPr>
                  <w:t xml:space="preserve"> ..........................................</w:t>
                </w:r>
                <w:r w:rsidR="00B23F06"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highlight w:val="magenta"/>
                  </w:rPr>
                </w:pPr>
                <w:r>
                  <w:rPr>
                    <w:rFonts w:asciiTheme="majorHAnsi" w:hAnsiTheme="majorHAnsi" w:cs="Arial"/>
                    <w:szCs w:val="24"/>
                  </w:rPr>
                  <w:t>13</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DF47EF" w:rsidP="00253056">
                <w:pPr>
                  <w:spacing w:before="120" w:after="120"/>
                  <w:jc w:val="both"/>
                  <w:rPr>
                    <w:rFonts w:asciiTheme="majorHAnsi" w:hAnsiTheme="majorHAnsi" w:cs="Arial"/>
                    <w:szCs w:val="24"/>
                  </w:rPr>
                </w:pPr>
                <w:r w:rsidRPr="0055696A">
                  <w:rPr>
                    <w:rFonts w:asciiTheme="majorHAnsi" w:hAnsiTheme="majorHAnsi" w:cs="Arial"/>
                    <w:szCs w:val="24"/>
                  </w:rPr>
                  <w:t>4.1. Struktura rashoda i izdataka</w:t>
                </w:r>
                <w:r w:rsidR="00253056" w:rsidRPr="0055696A">
                  <w:rPr>
                    <w:rFonts w:asciiTheme="majorHAnsi" w:hAnsiTheme="majorHAnsi" w:cs="Arial"/>
                    <w:szCs w:val="24"/>
                  </w:rPr>
                  <w:t xml:space="preserve"> ...........................</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15</w:t>
                </w:r>
              </w:p>
            </w:tc>
          </w:tr>
          <w:tr w:rsidR="00DD4D51" w:rsidRPr="0055696A" w:rsidTr="003C1A08">
            <w:trPr>
              <w:trHeight w:val="624"/>
            </w:trPr>
            <w:tc>
              <w:tcPr>
                <w:tcW w:w="646" w:type="dxa"/>
                <w:vAlign w:val="center"/>
              </w:tcPr>
              <w:p w:rsidR="00DF47EF" w:rsidRPr="0055696A" w:rsidRDefault="000F5238" w:rsidP="00253056">
                <w:pPr>
                  <w:spacing w:before="120" w:after="120"/>
                  <w:jc w:val="center"/>
                  <w:rPr>
                    <w:rFonts w:asciiTheme="majorHAnsi" w:hAnsiTheme="majorHAnsi" w:cs="Arial"/>
                    <w:szCs w:val="24"/>
                  </w:rPr>
                </w:pPr>
                <w:r>
                  <w:rPr>
                    <w:rFonts w:asciiTheme="majorHAnsi" w:hAnsiTheme="majorHAnsi" w:cs="Arial"/>
                    <w:szCs w:val="24"/>
                  </w:rPr>
                  <w:t>6</w:t>
                </w:r>
                <w:r w:rsidR="00DF47EF" w:rsidRPr="0055696A">
                  <w:rPr>
                    <w:rFonts w:asciiTheme="majorHAnsi" w:hAnsiTheme="majorHAnsi" w:cs="Arial"/>
                    <w:szCs w:val="24"/>
                  </w:rPr>
                  <w:t>.</w:t>
                </w:r>
              </w:p>
            </w:tc>
            <w:tc>
              <w:tcPr>
                <w:tcW w:w="7929" w:type="dxa"/>
                <w:vAlign w:val="center"/>
              </w:tcPr>
              <w:p w:rsidR="00DF47EF" w:rsidRPr="0055696A" w:rsidRDefault="00DF47EF" w:rsidP="00253056">
                <w:pPr>
                  <w:spacing w:before="120" w:after="120"/>
                  <w:jc w:val="both"/>
                  <w:rPr>
                    <w:rFonts w:asciiTheme="majorHAnsi" w:hAnsiTheme="majorHAnsi" w:cs="Arial"/>
                    <w:szCs w:val="24"/>
                  </w:rPr>
                </w:pPr>
                <w:r w:rsidRPr="0055696A">
                  <w:rPr>
                    <w:rFonts w:asciiTheme="majorHAnsi" w:hAnsiTheme="majorHAnsi" w:cs="Arial"/>
                    <w:szCs w:val="24"/>
                  </w:rPr>
                  <w:t>OBRAZLOŽENJE PO EKONOMSKIM KODOVIMA</w:t>
                </w:r>
                <w:r w:rsidR="00253056" w:rsidRPr="0055696A">
                  <w:rPr>
                    <w:rFonts w:asciiTheme="majorHAnsi" w:hAnsiTheme="majorHAnsi" w:cs="Arial"/>
                    <w:szCs w:val="24"/>
                  </w:rPr>
                  <w:t xml:space="preserve"> </w:t>
                </w:r>
                <w:r w:rsidR="00B23F06"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16</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253056">
                <w:pPr>
                  <w:spacing w:before="120" w:after="120"/>
                  <w:jc w:val="both"/>
                  <w:rPr>
                    <w:rFonts w:asciiTheme="majorHAnsi" w:hAnsiTheme="majorHAnsi" w:cs="Arial"/>
                    <w:szCs w:val="24"/>
                  </w:rPr>
                </w:pPr>
                <w:r>
                  <w:rPr>
                    <w:rFonts w:asciiTheme="majorHAnsi" w:hAnsiTheme="majorHAnsi" w:cs="Arial"/>
                    <w:szCs w:val="24"/>
                  </w:rPr>
                  <w:t>6</w:t>
                </w:r>
                <w:r w:rsidR="00DF47EF" w:rsidRPr="0055696A">
                  <w:rPr>
                    <w:rFonts w:asciiTheme="majorHAnsi" w:hAnsiTheme="majorHAnsi" w:cs="Arial"/>
                    <w:szCs w:val="24"/>
                  </w:rPr>
                  <w:t>.1. Plaće i naknade troškova zaposlenih</w:t>
                </w:r>
                <w:r w:rsidR="00253056" w:rsidRPr="0055696A">
                  <w:rPr>
                    <w:rFonts w:asciiTheme="majorHAnsi" w:hAnsiTheme="majorHAnsi" w:cs="Arial"/>
                    <w:szCs w:val="24"/>
                  </w:rPr>
                  <w:t xml:space="preserve"> .....................</w:t>
                </w:r>
                <w:r w:rsidR="00D47BC9"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16</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4C0301">
                <w:pPr>
                  <w:spacing w:before="120" w:after="120"/>
                  <w:jc w:val="both"/>
                  <w:rPr>
                    <w:rFonts w:asciiTheme="majorHAnsi" w:hAnsiTheme="majorHAnsi" w:cs="Arial"/>
                    <w:szCs w:val="24"/>
                  </w:rPr>
                </w:pPr>
                <w:r>
                  <w:rPr>
                    <w:rFonts w:asciiTheme="majorHAnsi" w:hAnsiTheme="majorHAnsi" w:cs="Arial"/>
                    <w:szCs w:val="24"/>
                  </w:rPr>
                  <w:t>6</w:t>
                </w:r>
                <w:r w:rsidR="00DF47EF" w:rsidRPr="0055696A">
                  <w:rPr>
                    <w:rFonts w:asciiTheme="majorHAnsi" w:hAnsiTheme="majorHAnsi" w:cs="Arial"/>
                    <w:szCs w:val="24"/>
                  </w:rPr>
                  <w:t>.2. Doprinosi poslodavca</w:t>
                </w:r>
                <w:r w:rsidR="00223AE6" w:rsidRPr="0055696A">
                  <w:rPr>
                    <w:rFonts w:asciiTheme="majorHAnsi" w:hAnsiTheme="majorHAnsi" w:cs="Arial"/>
                    <w:szCs w:val="24"/>
                  </w:rPr>
                  <w:t xml:space="preserve"> i ostali doprinosi</w:t>
                </w:r>
                <w:r w:rsidR="00253056" w:rsidRPr="0055696A">
                  <w:rPr>
                    <w:rFonts w:asciiTheme="majorHAnsi" w:hAnsiTheme="majorHAnsi" w:cs="Arial"/>
                    <w:szCs w:val="24"/>
                  </w:rPr>
                  <w:t xml:space="preserve"> </w:t>
                </w:r>
                <w:r w:rsidR="00223AE6" w:rsidRPr="0055696A">
                  <w:rPr>
                    <w:rFonts w:asciiTheme="majorHAnsi" w:hAnsiTheme="majorHAnsi" w:cs="Arial"/>
                    <w:szCs w:val="24"/>
                  </w:rPr>
                  <w:t>.</w:t>
                </w:r>
                <w:r w:rsidR="00253056"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953184" w:rsidP="005E7F90">
                <w:pPr>
                  <w:spacing w:before="120" w:after="120"/>
                  <w:jc w:val="right"/>
                  <w:rPr>
                    <w:rFonts w:asciiTheme="majorHAnsi" w:hAnsiTheme="majorHAnsi" w:cs="Arial"/>
                    <w:szCs w:val="24"/>
                  </w:rPr>
                </w:pPr>
                <w:r w:rsidRPr="0055696A">
                  <w:rPr>
                    <w:rFonts w:asciiTheme="majorHAnsi" w:hAnsiTheme="majorHAnsi" w:cs="Arial"/>
                    <w:szCs w:val="24"/>
                  </w:rPr>
                  <w:t>1</w:t>
                </w:r>
                <w:r w:rsidR="000F5238">
                  <w:rPr>
                    <w:rFonts w:asciiTheme="majorHAnsi" w:hAnsiTheme="majorHAnsi" w:cs="Arial"/>
                    <w:szCs w:val="24"/>
                  </w:rPr>
                  <w:t>7</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253056">
                <w:pPr>
                  <w:spacing w:before="120" w:after="120"/>
                  <w:jc w:val="both"/>
                  <w:rPr>
                    <w:rFonts w:asciiTheme="majorHAnsi" w:hAnsiTheme="majorHAnsi" w:cs="Arial"/>
                    <w:szCs w:val="24"/>
                  </w:rPr>
                </w:pPr>
                <w:r>
                  <w:rPr>
                    <w:rFonts w:asciiTheme="majorHAnsi" w:hAnsiTheme="majorHAnsi" w:cs="Arial"/>
                    <w:szCs w:val="24"/>
                  </w:rPr>
                  <w:t>6</w:t>
                </w:r>
                <w:r w:rsidR="00476BC3" w:rsidRPr="0055696A">
                  <w:rPr>
                    <w:rFonts w:asciiTheme="majorHAnsi" w:hAnsiTheme="majorHAnsi" w:cs="Arial"/>
                    <w:szCs w:val="24"/>
                  </w:rPr>
                  <w:t>.3. Izdaci za materijal, sit</w:t>
                </w:r>
                <w:r w:rsidR="00DF47EF" w:rsidRPr="0055696A">
                  <w:rPr>
                    <w:rFonts w:asciiTheme="majorHAnsi" w:hAnsiTheme="majorHAnsi" w:cs="Arial"/>
                    <w:szCs w:val="24"/>
                  </w:rPr>
                  <w:t>n</w:t>
                </w:r>
                <w:r w:rsidR="00476BC3" w:rsidRPr="0055696A">
                  <w:rPr>
                    <w:rFonts w:asciiTheme="majorHAnsi" w:hAnsiTheme="majorHAnsi" w:cs="Arial"/>
                    <w:szCs w:val="24"/>
                  </w:rPr>
                  <w:t>i</w:t>
                </w:r>
                <w:r w:rsidR="00DF47EF" w:rsidRPr="0055696A">
                  <w:rPr>
                    <w:rFonts w:asciiTheme="majorHAnsi" w:hAnsiTheme="majorHAnsi" w:cs="Arial"/>
                    <w:szCs w:val="24"/>
                  </w:rPr>
                  <w:t xml:space="preserve"> inventar i usluge</w:t>
                </w:r>
                <w:r w:rsidR="00253056" w:rsidRPr="0055696A">
                  <w:rPr>
                    <w:rFonts w:asciiTheme="majorHAnsi" w:hAnsiTheme="majorHAnsi" w:cs="Arial"/>
                    <w:szCs w:val="24"/>
                  </w:rPr>
                  <w:t xml:space="preserve"> ...............</w:t>
                </w:r>
                <w:r w:rsidR="00476BC3" w:rsidRPr="0055696A">
                  <w:rPr>
                    <w:rFonts w:asciiTheme="majorHAnsi" w:hAnsiTheme="majorHAnsi" w:cs="Arial"/>
                    <w:szCs w:val="24"/>
                  </w:rPr>
                  <w:t>.</w:t>
                </w:r>
                <w:r w:rsidR="00253056"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17</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4C0301">
                <w:pPr>
                  <w:spacing w:before="120" w:after="120"/>
                  <w:jc w:val="both"/>
                  <w:rPr>
                    <w:rFonts w:asciiTheme="majorHAnsi" w:hAnsiTheme="majorHAnsi" w:cs="Arial"/>
                    <w:szCs w:val="24"/>
                  </w:rPr>
                </w:pPr>
                <w:r>
                  <w:rPr>
                    <w:rFonts w:asciiTheme="majorHAnsi" w:hAnsiTheme="majorHAnsi" w:cs="Arial"/>
                    <w:szCs w:val="24"/>
                  </w:rPr>
                  <w:t>6</w:t>
                </w:r>
                <w:r w:rsidR="00253056" w:rsidRPr="0055696A">
                  <w:rPr>
                    <w:rFonts w:asciiTheme="majorHAnsi" w:hAnsiTheme="majorHAnsi" w:cs="Arial"/>
                    <w:szCs w:val="24"/>
                  </w:rPr>
                  <w:t>.4. Tekući transferi</w:t>
                </w:r>
                <w:r w:rsidR="00476BC3" w:rsidRPr="0055696A">
                  <w:rPr>
                    <w:rFonts w:asciiTheme="majorHAnsi" w:hAnsiTheme="majorHAnsi" w:cs="Arial"/>
                    <w:szCs w:val="24"/>
                  </w:rPr>
                  <w:t xml:space="preserve"> i drugi tekući rashodi</w:t>
                </w:r>
                <w:r w:rsidR="00253056" w:rsidRPr="0055696A">
                  <w:rPr>
                    <w:rFonts w:asciiTheme="majorHAnsi" w:hAnsiTheme="majorHAnsi" w:cs="Arial"/>
                    <w:szCs w:val="24"/>
                  </w:rPr>
                  <w:t xml:space="preserve"> .</w:t>
                </w:r>
                <w:r w:rsidR="00476BC3" w:rsidRPr="0055696A">
                  <w:rPr>
                    <w:rFonts w:asciiTheme="majorHAnsi" w:hAnsiTheme="majorHAnsi" w:cs="Arial"/>
                    <w:szCs w:val="24"/>
                  </w:rPr>
                  <w:t>.....</w:t>
                </w:r>
                <w:r w:rsidR="00253056"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18</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4C0301">
                <w:pPr>
                  <w:spacing w:before="120" w:after="120"/>
                  <w:jc w:val="both"/>
                  <w:rPr>
                    <w:rFonts w:asciiTheme="majorHAnsi" w:hAnsiTheme="majorHAnsi" w:cs="Arial"/>
                    <w:szCs w:val="24"/>
                  </w:rPr>
                </w:pPr>
                <w:r>
                  <w:rPr>
                    <w:rFonts w:asciiTheme="majorHAnsi" w:hAnsiTheme="majorHAnsi" w:cs="Arial"/>
                    <w:szCs w:val="24"/>
                  </w:rPr>
                  <w:t>6</w:t>
                </w:r>
                <w:r w:rsidR="00253056" w:rsidRPr="0055696A">
                  <w:rPr>
                    <w:rFonts w:asciiTheme="majorHAnsi" w:hAnsiTheme="majorHAnsi" w:cs="Arial"/>
                    <w:szCs w:val="24"/>
                  </w:rPr>
                  <w:t>.5. Kapitalni transferi ....................................</w:t>
                </w:r>
                <w:r w:rsidR="004C0301" w:rsidRPr="0055696A">
                  <w:rPr>
                    <w:rFonts w:asciiTheme="majorHAnsi" w:hAnsiTheme="majorHAnsi" w:cs="Arial"/>
                    <w:szCs w:val="24"/>
                  </w:rPr>
                  <w:t>.</w:t>
                </w:r>
                <w:r w:rsidR="00B23F06"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19</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4C0301">
                <w:pPr>
                  <w:spacing w:before="120" w:after="120"/>
                  <w:jc w:val="both"/>
                  <w:rPr>
                    <w:rFonts w:asciiTheme="majorHAnsi" w:hAnsiTheme="majorHAnsi" w:cs="Arial"/>
                    <w:szCs w:val="24"/>
                  </w:rPr>
                </w:pPr>
                <w:r>
                  <w:rPr>
                    <w:rFonts w:asciiTheme="majorHAnsi" w:hAnsiTheme="majorHAnsi" w:cs="Arial"/>
                    <w:szCs w:val="24"/>
                  </w:rPr>
                  <w:t>6</w:t>
                </w:r>
                <w:r w:rsidR="00253056" w:rsidRPr="0055696A">
                  <w:rPr>
                    <w:rFonts w:asciiTheme="majorHAnsi" w:hAnsiTheme="majorHAnsi" w:cs="Arial"/>
                    <w:szCs w:val="24"/>
                  </w:rPr>
                  <w:t>.6. Izdaci za kamate ......................................................</w:t>
                </w:r>
                <w:r w:rsidR="004C0301" w:rsidRPr="0055696A">
                  <w:rPr>
                    <w:rFonts w:asciiTheme="majorHAnsi" w:hAnsiTheme="majorHAnsi" w:cs="Arial"/>
                    <w:szCs w:val="24"/>
                  </w:rPr>
                  <w:t>.....</w:t>
                </w:r>
                <w:r w:rsidR="00B23F06"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20</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4C0301">
                <w:pPr>
                  <w:spacing w:before="120" w:after="120"/>
                  <w:jc w:val="both"/>
                  <w:rPr>
                    <w:rFonts w:asciiTheme="majorHAnsi" w:hAnsiTheme="majorHAnsi" w:cs="Arial"/>
                    <w:szCs w:val="24"/>
                  </w:rPr>
                </w:pPr>
                <w:r>
                  <w:rPr>
                    <w:rFonts w:asciiTheme="majorHAnsi" w:hAnsiTheme="majorHAnsi" w:cs="Arial"/>
                    <w:szCs w:val="24"/>
                  </w:rPr>
                  <w:t>6</w:t>
                </w:r>
                <w:r w:rsidR="00253056" w:rsidRPr="0055696A">
                  <w:rPr>
                    <w:rFonts w:asciiTheme="majorHAnsi" w:hAnsiTheme="majorHAnsi" w:cs="Arial"/>
                    <w:szCs w:val="24"/>
                  </w:rPr>
                  <w:t xml:space="preserve">.7. </w:t>
                </w:r>
                <w:r w:rsidR="00476BC3" w:rsidRPr="0055696A">
                  <w:rPr>
                    <w:rFonts w:asciiTheme="majorHAnsi" w:hAnsiTheme="majorHAnsi" w:cs="Arial"/>
                    <w:szCs w:val="24"/>
                  </w:rPr>
                  <w:t>Izdaci za nabavku</w:t>
                </w:r>
                <w:r w:rsidR="00253056" w:rsidRPr="0055696A">
                  <w:rPr>
                    <w:rFonts w:asciiTheme="majorHAnsi" w:hAnsiTheme="majorHAnsi" w:cs="Arial"/>
                    <w:szCs w:val="24"/>
                  </w:rPr>
                  <w:t xml:space="preserve"> stalnih sredstava ............................................</w:t>
                </w:r>
                <w:r w:rsidR="00476BC3"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5E7F90">
                <w:pPr>
                  <w:spacing w:before="120" w:after="120"/>
                  <w:jc w:val="right"/>
                  <w:rPr>
                    <w:rFonts w:asciiTheme="majorHAnsi" w:hAnsiTheme="majorHAnsi" w:cs="Arial"/>
                    <w:szCs w:val="24"/>
                  </w:rPr>
                </w:pPr>
                <w:r>
                  <w:rPr>
                    <w:rFonts w:asciiTheme="majorHAnsi" w:hAnsiTheme="majorHAnsi" w:cs="Arial"/>
                    <w:szCs w:val="24"/>
                  </w:rPr>
                  <w:t>20</w:t>
                </w:r>
              </w:p>
            </w:tc>
          </w:tr>
          <w:tr w:rsidR="00DD4D51" w:rsidRPr="0055696A" w:rsidTr="003C1A08">
            <w:trPr>
              <w:trHeight w:val="624"/>
            </w:trPr>
            <w:tc>
              <w:tcPr>
                <w:tcW w:w="646" w:type="dxa"/>
                <w:vAlign w:val="center"/>
              </w:tcPr>
              <w:p w:rsidR="00253056" w:rsidRPr="0055696A" w:rsidRDefault="00253056" w:rsidP="00253056">
                <w:pPr>
                  <w:spacing w:before="120" w:after="120"/>
                  <w:jc w:val="center"/>
                  <w:rPr>
                    <w:rFonts w:asciiTheme="majorHAnsi" w:hAnsiTheme="majorHAnsi" w:cs="Arial"/>
                    <w:szCs w:val="24"/>
                  </w:rPr>
                </w:pPr>
              </w:p>
            </w:tc>
            <w:tc>
              <w:tcPr>
                <w:tcW w:w="7929" w:type="dxa"/>
                <w:vAlign w:val="center"/>
              </w:tcPr>
              <w:p w:rsidR="00253056" w:rsidRPr="0055696A" w:rsidRDefault="000F5238" w:rsidP="008F3960">
                <w:pPr>
                  <w:spacing w:before="120" w:after="120"/>
                  <w:jc w:val="both"/>
                  <w:rPr>
                    <w:rFonts w:asciiTheme="majorHAnsi" w:hAnsiTheme="majorHAnsi" w:cs="Arial"/>
                    <w:szCs w:val="24"/>
                  </w:rPr>
                </w:pPr>
                <w:r>
                  <w:rPr>
                    <w:rFonts w:asciiTheme="majorHAnsi" w:hAnsiTheme="majorHAnsi" w:cs="Arial"/>
                    <w:szCs w:val="24"/>
                  </w:rPr>
                  <w:t>6</w:t>
                </w:r>
                <w:r w:rsidR="00253056" w:rsidRPr="0055696A">
                  <w:rPr>
                    <w:rFonts w:asciiTheme="majorHAnsi" w:hAnsiTheme="majorHAnsi" w:cs="Arial"/>
                    <w:szCs w:val="24"/>
                  </w:rPr>
                  <w:t xml:space="preserve">.8. </w:t>
                </w:r>
                <w:r w:rsidR="00476BC3" w:rsidRPr="0055696A">
                  <w:rPr>
                    <w:rFonts w:asciiTheme="majorHAnsi" w:hAnsiTheme="majorHAnsi" w:cs="Arial"/>
                    <w:szCs w:val="24"/>
                  </w:rPr>
                  <w:t>Izdaci za finansijsku imovinu</w:t>
                </w:r>
                <w:r w:rsidR="00253056" w:rsidRPr="0055696A">
                  <w:rPr>
                    <w:rFonts w:asciiTheme="majorHAnsi" w:hAnsiTheme="majorHAnsi" w:cs="Arial"/>
                    <w:szCs w:val="24"/>
                  </w:rPr>
                  <w:t xml:space="preserve"> ...</w:t>
                </w:r>
                <w:r w:rsidR="00476BC3" w:rsidRPr="0055696A">
                  <w:rPr>
                    <w:rFonts w:asciiTheme="majorHAnsi" w:hAnsiTheme="majorHAnsi" w:cs="Arial"/>
                    <w:szCs w:val="24"/>
                  </w:rPr>
                  <w:t>............</w:t>
                </w:r>
                <w:r w:rsidR="00253056" w:rsidRPr="0055696A">
                  <w:rPr>
                    <w:rFonts w:asciiTheme="majorHAnsi" w:hAnsiTheme="majorHAnsi" w:cs="Arial"/>
                    <w:szCs w:val="24"/>
                  </w:rPr>
                  <w:t>............................</w:t>
                </w:r>
                <w:r w:rsidR="004C0301"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253056"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20</w:t>
                </w:r>
              </w:p>
            </w:tc>
          </w:tr>
          <w:tr w:rsidR="00DD4D51" w:rsidRPr="0055696A" w:rsidTr="003C1A08">
            <w:trPr>
              <w:trHeight w:val="624"/>
            </w:trPr>
            <w:tc>
              <w:tcPr>
                <w:tcW w:w="646" w:type="dxa"/>
                <w:vAlign w:val="center"/>
              </w:tcPr>
              <w:p w:rsidR="00DF47EF" w:rsidRPr="0055696A" w:rsidRDefault="00DF47EF" w:rsidP="00253056">
                <w:pPr>
                  <w:spacing w:before="120" w:after="120"/>
                  <w:jc w:val="center"/>
                  <w:rPr>
                    <w:rFonts w:asciiTheme="majorHAnsi" w:hAnsiTheme="majorHAnsi" w:cs="Arial"/>
                    <w:szCs w:val="24"/>
                  </w:rPr>
                </w:pPr>
              </w:p>
            </w:tc>
            <w:tc>
              <w:tcPr>
                <w:tcW w:w="7929" w:type="dxa"/>
                <w:vAlign w:val="center"/>
              </w:tcPr>
              <w:p w:rsidR="00DF47EF" w:rsidRPr="0055696A" w:rsidRDefault="000F5238" w:rsidP="004C0301">
                <w:pPr>
                  <w:spacing w:before="120" w:after="120"/>
                  <w:jc w:val="both"/>
                  <w:rPr>
                    <w:rFonts w:asciiTheme="majorHAnsi" w:hAnsiTheme="majorHAnsi" w:cs="Arial"/>
                    <w:szCs w:val="24"/>
                  </w:rPr>
                </w:pPr>
                <w:r>
                  <w:rPr>
                    <w:rFonts w:asciiTheme="majorHAnsi" w:hAnsiTheme="majorHAnsi" w:cs="Arial"/>
                    <w:szCs w:val="24"/>
                  </w:rPr>
                  <w:t>6</w:t>
                </w:r>
                <w:r w:rsidR="00253056" w:rsidRPr="0055696A">
                  <w:rPr>
                    <w:rFonts w:asciiTheme="majorHAnsi" w:hAnsiTheme="majorHAnsi" w:cs="Arial"/>
                    <w:szCs w:val="24"/>
                  </w:rPr>
                  <w:t xml:space="preserve">.9. </w:t>
                </w:r>
                <w:r w:rsidR="00476BC3" w:rsidRPr="0055696A">
                  <w:rPr>
                    <w:rFonts w:asciiTheme="majorHAnsi" w:hAnsiTheme="majorHAnsi" w:cs="Arial"/>
                    <w:szCs w:val="24"/>
                  </w:rPr>
                  <w:t>Izdaci za o</w:t>
                </w:r>
                <w:r w:rsidR="00253056" w:rsidRPr="0055696A">
                  <w:rPr>
                    <w:rFonts w:asciiTheme="majorHAnsi" w:hAnsiTheme="majorHAnsi" w:cs="Arial"/>
                    <w:szCs w:val="24"/>
                  </w:rPr>
                  <w:t>tplate dugova ........................</w:t>
                </w:r>
                <w:r w:rsidR="004C0301" w:rsidRPr="0055696A">
                  <w:rPr>
                    <w:rFonts w:asciiTheme="majorHAnsi" w:hAnsiTheme="majorHAnsi" w:cs="Arial"/>
                    <w:szCs w:val="24"/>
                  </w:rPr>
                  <w:t>...........................</w:t>
                </w:r>
                <w:r w:rsidR="00476BC3" w:rsidRPr="0055696A">
                  <w:rPr>
                    <w:rFonts w:asciiTheme="majorHAnsi" w:hAnsiTheme="majorHAnsi" w:cs="Arial"/>
                    <w:szCs w:val="24"/>
                  </w:rPr>
                  <w:t>...........</w:t>
                </w:r>
                <w:r w:rsidR="00253056" w:rsidRPr="0055696A">
                  <w:rPr>
                    <w:rFonts w:asciiTheme="majorHAnsi" w:hAnsiTheme="majorHAnsi" w:cs="Arial"/>
                    <w:szCs w:val="24"/>
                  </w:rPr>
                  <w:t>........</w:t>
                </w:r>
                <w:r w:rsidR="00BE1BC8" w:rsidRPr="0055696A">
                  <w:rPr>
                    <w:rFonts w:asciiTheme="majorHAnsi" w:hAnsiTheme="majorHAnsi" w:cs="Arial"/>
                    <w:szCs w:val="24"/>
                  </w:rPr>
                  <w:t>.............................</w:t>
                </w:r>
              </w:p>
            </w:tc>
            <w:tc>
              <w:tcPr>
                <w:tcW w:w="785" w:type="dxa"/>
                <w:vAlign w:val="center"/>
              </w:tcPr>
              <w:p w:rsidR="00DF47EF" w:rsidRPr="0055696A" w:rsidRDefault="000F5238" w:rsidP="00253056">
                <w:pPr>
                  <w:spacing w:before="120" w:after="120"/>
                  <w:jc w:val="right"/>
                  <w:rPr>
                    <w:rFonts w:asciiTheme="majorHAnsi" w:hAnsiTheme="majorHAnsi" w:cs="Arial"/>
                    <w:szCs w:val="24"/>
                  </w:rPr>
                </w:pPr>
                <w:r>
                  <w:rPr>
                    <w:rFonts w:asciiTheme="majorHAnsi" w:hAnsiTheme="majorHAnsi" w:cs="Arial"/>
                    <w:szCs w:val="24"/>
                  </w:rPr>
                  <w:t>21</w:t>
                </w:r>
              </w:p>
            </w:tc>
          </w:tr>
        </w:tbl>
        <w:p w:rsidR="002329CE" w:rsidRPr="001F212B" w:rsidRDefault="002329CE" w:rsidP="004C0301">
          <w:pPr>
            <w:spacing w:before="120" w:after="120" w:line="240" w:lineRule="auto"/>
            <w:jc w:val="both"/>
            <w:rPr>
              <w:rFonts w:ascii="Arial" w:hAnsi="Arial" w:cs="Arial"/>
              <w:sz w:val="24"/>
              <w:szCs w:val="24"/>
              <w:highlight w:val="yellow"/>
            </w:rPr>
          </w:pPr>
        </w:p>
        <w:tbl>
          <w:tblPr>
            <w:tblpPr w:leftFromText="180" w:rightFromText="180" w:vertAnchor="text" w:horzAnchor="margin" w:tblpXSpec="center" w:tblpY="-700"/>
            <w:tblW w:w="5356" w:type="pct"/>
            <w:tblCellMar>
              <w:left w:w="360" w:type="dxa"/>
              <w:right w:w="360" w:type="dxa"/>
            </w:tblCellMar>
            <w:tblLook w:val="04A0" w:firstRow="1" w:lastRow="0" w:firstColumn="1" w:lastColumn="0" w:noHBand="0" w:noVBand="1"/>
          </w:tblPr>
          <w:tblGrid>
            <w:gridCol w:w="1171"/>
            <w:gridCol w:w="8855"/>
          </w:tblGrid>
          <w:tr w:rsidR="00CB0AC0" w:rsidRPr="001F212B" w:rsidTr="00CB0AC0">
            <w:trPr>
              <w:trHeight w:val="727"/>
            </w:trPr>
            <w:tc>
              <w:tcPr>
                <w:tcW w:w="584" w:type="pct"/>
                <w:shd w:val="clear" w:color="auto" w:fill="4F6228" w:themeFill="accent3" w:themeFillShade="80"/>
                <w:vAlign w:val="center"/>
              </w:tcPr>
              <w:p w:rsidR="00CB0AC0" w:rsidRPr="00344311" w:rsidRDefault="00CB0AC0" w:rsidP="00CB0AC0">
                <w:pPr>
                  <w:pStyle w:val="NoSpacing"/>
                  <w:jc w:val="center"/>
                  <w:rPr>
                    <w:rFonts w:asciiTheme="majorHAnsi" w:hAnsiTheme="majorHAnsi"/>
                    <w:b/>
                    <w:smallCaps/>
                    <w:sz w:val="32"/>
                    <w:szCs w:val="24"/>
                  </w:rPr>
                </w:pPr>
                <w:r w:rsidRPr="00344311">
                  <w:rPr>
                    <w:rFonts w:asciiTheme="majorHAnsi" w:hAnsiTheme="majorHAnsi"/>
                    <w:b/>
                    <w:smallCaps/>
                    <w:color w:val="FFFFFF" w:themeColor="background1"/>
                    <w:sz w:val="32"/>
                    <w:szCs w:val="24"/>
                  </w:rPr>
                  <w:lastRenderedPageBreak/>
                  <w:t>1.</w:t>
                </w:r>
              </w:p>
            </w:tc>
            <w:tc>
              <w:tcPr>
                <w:tcW w:w="4416" w:type="pct"/>
                <w:shd w:val="clear" w:color="auto" w:fill="C2D69B" w:themeFill="accent3" w:themeFillTint="99"/>
                <w:vAlign w:val="center"/>
              </w:tcPr>
              <w:p w:rsidR="00CB0AC0" w:rsidRPr="00344311" w:rsidRDefault="00CB0AC0" w:rsidP="00CB0AC0">
                <w:pPr>
                  <w:pStyle w:val="NoSpacing"/>
                  <w:rPr>
                    <w:rFonts w:asciiTheme="majorHAnsi" w:hAnsiTheme="majorHAnsi"/>
                    <w:b/>
                    <w:smallCaps/>
                    <w:color w:val="FFFFFF" w:themeColor="background1"/>
                    <w:sz w:val="32"/>
                    <w:szCs w:val="28"/>
                    <w:lang w:val="de-DE"/>
                  </w:rPr>
                </w:pPr>
                <w:r w:rsidRPr="00344311">
                  <w:rPr>
                    <w:rFonts w:asciiTheme="majorHAnsi" w:hAnsiTheme="majorHAnsi"/>
                    <w:b/>
                    <w:smallCaps/>
                    <w:sz w:val="32"/>
                    <w:szCs w:val="28"/>
                    <w:lang w:val="de-DE"/>
                  </w:rPr>
                  <w:t>UVOD</w:t>
                </w:r>
              </w:p>
            </w:tc>
          </w:tr>
        </w:tbl>
        <w:p w:rsidR="0055696A" w:rsidRDefault="0055696A" w:rsidP="0014620C">
          <w:pPr>
            <w:spacing w:after="0"/>
            <w:jc w:val="both"/>
            <w:rPr>
              <w:rFonts w:asciiTheme="majorHAnsi" w:eastAsia="Times New Roman" w:hAnsiTheme="majorHAnsi" w:cs="Arial"/>
              <w:sz w:val="24"/>
              <w:szCs w:val="24"/>
              <w:lang w:val="hr-BA"/>
            </w:rPr>
          </w:pPr>
        </w:p>
        <w:p w:rsidR="0014620C" w:rsidRDefault="0014620C" w:rsidP="0014620C">
          <w:pPr>
            <w:spacing w:after="0"/>
            <w:jc w:val="both"/>
            <w:rPr>
              <w:rFonts w:asciiTheme="majorHAnsi" w:eastAsia="Times New Roman" w:hAnsiTheme="majorHAnsi" w:cs="Arial"/>
              <w:sz w:val="24"/>
              <w:szCs w:val="24"/>
              <w:lang w:val="hr-BA"/>
            </w:rPr>
          </w:pPr>
          <w:r>
            <w:rPr>
              <w:rFonts w:asciiTheme="majorHAnsi" w:eastAsia="Times New Roman" w:hAnsiTheme="majorHAnsi" w:cs="Arial"/>
              <w:sz w:val="24"/>
              <w:szCs w:val="24"/>
              <w:lang w:val="hr-BA"/>
            </w:rPr>
            <w:t xml:space="preserve">Budžet Federacije BiH za 2016. godinu je usvojen  u iznosu od 2.598.862.123 KM. Pored redovnih prihoda od poreza i neporeznih prihoda, planirano je i vanjsko zaduživanje od Međunarodnog monetarnog fonda u </w:t>
          </w:r>
          <w:r w:rsidR="001D20AE" w:rsidRPr="001D20AE">
            <w:rPr>
              <w:rFonts w:asciiTheme="majorHAnsi" w:eastAsia="Times New Roman" w:hAnsiTheme="majorHAnsi" w:cs="Arial"/>
              <w:sz w:val="24"/>
              <w:szCs w:val="24"/>
              <w:lang w:val="hr-BA"/>
            </w:rPr>
            <w:t>okviru</w:t>
          </w:r>
          <w:r>
            <w:rPr>
              <w:rFonts w:asciiTheme="majorHAnsi" w:eastAsia="Times New Roman" w:hAnsiTheme="majorHAnsi" w:cs="Arial"/>
              <w:sz w:val="24"/>
              <w:szCs w:val="24"/>
              <w:lang w:val="hr-BA"/>
            </w:rPr>
            <w:t xml:space="preserve"> proširenog aranžmana i Svjetske banke u okviru DPL projekta u ukupno iznosu od 312,0 mil KM. Međutim, zbog kašnjenja u usaglašavanju Pisma namjere sa MMF-om i dinamike doznačavanja tranši od strane MMF-a, velika je vjerovatnoća da druga tranša sredstava od MMF-a neće biti uplaćena do kraja 2016. godine. Također, BiH nije na vrijeme ispunila uslove iz matrice politka definisanih u  okviru DPL projekta sa  Svjetskom bankom usljed čega će doći do kašnjenja u doznaci sredstava iz ovog projekta i izgledno je da će se za to stvoriti uslovi tek u narednoj  godini. </w:t>
          </w:r>
        </w:p>
        <w:p w:rsidR="0014620C" w:rsidRDefault="0014620C" w:rsidP="0014620C">
          <w:pPr>
            <w:spacing w:after="0"/>
            <w:jc w:val="both"/>
            <w:rPr>
              <w:rFonts w:asciiTheme="majorHAnsi" w:eastAsia="Times New Roman" w:hAnsiTheme="majorHAnsi" w:cs="Arial"/>
              <w:sz w:val="24"/>
              <w:szCs w:val="24"/>
              <w:lang w:val="hr-HR"/>
            </w:rPr>
          </w:pPr>
          <w:r>
            <w:rPr>
              <w:rFonts w:asciiTheme="majorHAnsi" w:eastAsia="Times New Roman" w:hAnsiTheme="majorHAnsi" w:cs="Arial"/>
              <w:sz w:val="24"/>
              <w:szCs w:val="24"/>
              <w:lang w:val="hr-HR"/>
            </w:rPr>
            <w:t xml:space="preserve">Uvažavajući predhodno navedeno, u skladu sa Zakonom o budžetima u Federaciji BiH </w:t>
          </w:r>
          <w:r w:rsidRPr="00344311">
            <w:rPr>
              <w:rFonts w:asciiTheme="majorHAnsi" w:hAnsiTheme="majorHAnsi" w:cs="Arial"/>
              <w:sz w:val="24"/>
              <w:szCs w:val="24"/>
            </w:rPr>
            <w:t>(„Službene novine Federacije BIH“, br. 102/13, 9/14, 13/14</w:t>
          </w:r>
          <w:r>
            <w:rPr>
              <w:rFonts w:asciiTheme="majorHAnsi" w:hAnsiTheme="majorHAnsi" w:cs="Arial"/>
              <w:sz w:val="24"/>
              <w:szCs w:val="24"/>
            </w:rPr>
            <w:t xml:space="preserve">, </w:t>
          </w:r>
          <w:r w:rsidRPr="00344311">
            <w:rPr>
              <w:rFonts w:asciiTheme="majorHAnsi" w:hAnsiTheme="majorHAnsi" w:cs="Arial"/>
              <w:sz w:val="24"/>
              <w:szCs w:val="24"/>
            </w:rPr>
            <w:t>8/15</w:t>
          </w:r>
          <w:r>
            <w:rPr>
              <w:rFonts w:asciiTheme="majorHAnsi" w:hAnsiTheme="majorHAnsi" w:cs="Arial"/>
              <w:sz w:val="24"/>
              <w:szCs w:val="24"/>
            </w:rPr>
            <w:t>, 91/15 i 102/15</w:t>
          </w:r>
          <w:r w:rsidRPr="00344311">
            <w:rPr>
              <w:rFonts w:asciiTheme="majorHAnsi" w:hAnsiTheme="majorHAnsi" w:cs="Arial"/>
              <w:sz w:val="24"/>
              <w:szCs w:val="24"/>
            </w:rPr>
            <w:t>)</w:t>
          </w:r>
          <w:r>
            <w:rPr>
              <w:rFonts w:asciiTheme="majorHAnsi" w:eastAsia="Times New Roman" w:hAnsiTheme="majorHAnsi" w:cs="Arial"/>
              <w:sz w:val="24"/>
              <w:szCs w:val="24"/>
              <w:lang w:val="hr-HR"/>
            </w:rPr>
            <w:t xml:space="preserve">, Vlada Federacije BiH je pokrenula aktivnosti na Izmjenama i dopunama Budžeta Federacije BiH u 2016. godini. </w:t>
          </w:r>
        </w:p>
        <w:p w:rsidR="0014620C" w:rsidRDefault="0014620C" w:rsidP="0014620C">
          <w:pPr>
            <w:spacing w:after="0"/>
            <w:jc w:val="both"/>
            <w:rPr>
              <w:rFonts w:asciiTheme="majorHAnsi" w:hAnsiTheme="majorHAnsi" w:cs="Arial"/>
              <w:sz w:val="24"/>
              <w:szCs w:val="24"/>
            </w:rPr>
          </w:pPr>
        </w:p>
        <w:p w:rsidR="0014620C" w:rsidRPr="00344311" w:rsidRDefault="0014620C" w:rsidP="0014620C">
          <w:pPr>
            <w:autoSpaceDE w:val="0"/>
            <w:autoSpaceDN w:val="0"/>
            <w:adjustRightInd w:val="0"/>
            <w:spacing w:after="0"/>
            <w:jc w:val="both"/>
            <w:rPr>
              <w:rFonts w:asciiTheme="majorHAnsi" w:hAnsiTheme="majorHAnsi" w:cs="Arial"/>
              <w:sz w:val="24"/>
              <w:szCs w:val="24"/>
            </w:rPr>
          </w:pPr>
          <w:r>
            <w:rPr>
              <w:rFonts w:asciiTheme="majorHAnsi" w:hAnsiTheme="majorHAnsi" w:cs="Arial"/>
              <w:sz w:val="24"/>
              <w:szCs w:val="24"/>
            </w:rPr>
            <w:t xml:space="preserve">Stoga je </w:t>
          </w:r>
          <w:r w:rsidRPr="00344311">
            <w:rPr>
              <w:rFonts w:asciiTheme="majorHAnsi" w:hAnsiTheme="majorHAnsi" w:cs="Arial"/>
              <w:sz w:val="24"/>
              <w:szCs w:val="24"/>
            </w:rPr>
            <w:t>Federalno ministarstvo finansija</w:t>
          </w:r>
          <w:r>
            <w:rPr>
              <w:rFonts w:asciiTheme="majorHAnsi" w:hAnsiTheme="majorHAnsi" w:cs="Arial"/>
              <w:sz w:val="24"/>
              <w:szCs w:val="24"/>
            </w:rPr>
            <w:t xml:space="preserve"> </w:t>
          </w:r>
          <w:r w:rsidRPr="00344311">
            <w:rPr>
              <w:rFonts w:asciiTheme="majorHAnsi" w:hAnsiTheme="majorHAnsi" w:cs="Arial"/>
              <w:sz w:val="24"/>
              <w:szCs w:val="24"/>
            </w:rPr>
            <w:t>pripremi</w:t>
          </w:r>
          <w:r>
            <w:rPr>
              <w:rFonts w:asciiTheme="majorHAnsi" w:hAnsiTheme="majorHAnsi" w:cs="Arial"/>
              <w:sz w:val="24"/>
              <w:szCs w:val="24"/>
            </w:rPr>
            <w:t>lo</w:t>
          </w:r>
          <w:r w:rsidRPr="00344311">
            <w:rPr>
              <w:rFonts w:asciiTheme="majorHAnsi" w:hAnsiTheme="majorHAnsi" w:cs="Arial"/>
              <w:sz w:val="24"/>
              <w:szCs w:val="24"/>
            </w:rPr>
            <w:t xml:space="preserve"> Prijedlog odluke o izmjenama i dopunama  Budžeta Federacije Bosne i Hercegovine za 201</w:t>
          </w:r>
          <w:r>
            <w:rPr>
              <w:rFonts w:asciiTheme="majorHAnsi" w:hAnsiTheme="majorHAnsi" w:cs="Arial"/>
              <w:sz w:val="24"/>
              <w:szCs w:val="24"/>
            </w:rPr>
            <w:t>6</w:t>
          </w:r>
          <w:r w:rsidRPr="00344311">
            <w:rPr>
              <w:rFonts w:asciiTheme="majorHAnsi" w:hAnsiTheme="majorHAnsi" w:cs="Arial"/>
              <w:sz w:val="24"/>
              <w:szCs w:val="24"/>
            </w:rPr>
            <w:t>. godinu. Postupak izrade ovog prijedloga odvijao se u skladu sa</w:t>
          </w:r>
          <w:r>
            <w:rPr>
              <w:rFonts w:asciiTheme="majorHAnsi" w:hAnsiTheme="majorHAnsi" w:cs="Arial"/>
              <w:sz w:val="24"/>
              <w:szCs w:val="24"/>
            </w:rPr>
            <w:t xml:space="preserve"> gore pomenutim</w:t>
          </w:r>
          <w:r w:rsidRPr="00344311">
            <w:rPr>
              <w:rFonts w:asciiTheme="majorHAnsi" w:hAnsiTheme="majorHAnsi" w:cs="Arial"/>
              <w:sz w:val="24"/>
              <w:szCs w:val="24"/>
            </w:rPr>
            <w:t xml:space="preserve"> Zakonom o budžetima u Federaciji BiH, Zakonom o izvršenju budžeta Federacije BiH</w:t>
          </w:r>
          <w:r>
            <w:rPr>
              <w:rFonts w:asciiTheme="majorHAnsi" w:hAnsiTheme="majorHAnsi" w:cs="Arial"/>
              <w:sz w:val="24"/>
              <w:szCs w:val="24"/>
            </w:rPr>
            <w:t xml:space="preserve"> za 2016.</w:t>
          </w:r>
          <w:r w:rsidRPr="00344311">
            <w:rPr>
              <w:rFonts w:asciiTheme="majorHAnsi" w:hAnsiTheme="majorHAnsi" w:cs="Arial"/>
              <w:sz w:val="24"/>
              <w:szCs w:val="24"/>
            </w:rPr>
            <w:t xml:space="preserve"> („Služben</w:t>
          </w:r>
          <w:r>
            <w:rPr>
              <w:rFonts w:asciiTheme="majorHAnsi" w:hAnsiTheme="majorHAnsi" w:cs="Arial"/>
              <w:sz w:val="24"/>
              <w:szCs w:val="24"/>
            </w:rPr>
            <w:t>e novine Federacije BIH“, broj 102</w:t>
          </w:r>
          <w:r w:rsidRPr="00344311">
            <w:rPr>
              <w:rFonts w:asciiTheme="majorHAnsi" w:hAnsiTheme="majorHAnsi" w:cs="Arial"/>
              <w:sz w:val="24"/>
              <w:szCs w:val="24"/>
            </w:rPr>
            <w:t>/15) i revidiranim projekcijama prihoda.</w:t>
          </w:r>
        </w:p>
        <w:p w:rsidR="0014620C" w:rsidRPr="00344311" w:rsidRDefault="0014620C" w:rsidP="0014620C">
          <w:pPr>
            <w:spacing w:before="240" w:after="240"/>
            <w:jc w:val="both"/>
            <w:rPr>
              <w:rFonts w:asciiTheme="majorHAnsi" w:hAnsiTheme="majorHAnsi" w:cs="Arial"/>
              <w:sz w:val="24"/>
              <w:szCs w:val="24"/>
            </w:rPr>
          </w:pPr>
          <w:r w:rsidRPr="00344311">
            <w:rPr>
              <w:rFonts w:asciiTheme="majorHAnsi" w:hAnsiTheme="majorHAnsi" w:cs="Arial"/>
              <w:sz w:val="24"/>
              <w:szCs w:val="24"/>
            </w:rPr>
            <w:t>Prilikom izrade Prijedloga odluke o izmjenama i dopunama  Budžeta Federacije Bosne i Hercegovi</w:t>
          </w:r>
          <w:r>
            <w:rPr>
              <w:rFonts w:asciiTheme="majorHAnsi" w:hAnsiTheme="majorHAnsi" w:cs="Arial"/>
              <w:sz w:val="24"/>
              <w:szCs w:val="24"/>
            </w:rPr>
            <w:t>ne za 2016</w:t>
          </w:r>
          <w:r w:rsidRPr="00344311">
            <w:rPr>
              <w:rFonts w:asciiTheme="majorHAnsi" w:hAnsiTheme="majorHAnsi" w:cs="Arial"/>
              <w:sz w:val="24"/>
              <w:szCs w:val="24"/>
            </w:rPr>
            <w:t>. godinu uzete su u obzir:</w:t>
          </w:r>
        </w:p>
        <w:p w:rsidR="0014620C" w:rsidRPr="00344311" w:rsidRDefault="0014620C" w:rsidP="0014620C">
          <w:pPr>
            <w:pStyle w:val="ListParagraph"/>
            <w:numPr>
              <w:ilvl w:val="0"/>
              <w:numId w:val="1"/>
            </w:numPr>
            <w:spacing w:before="240" w:after="240"/>
            <w:jc w:val="both"/>
            <w:rPr>
              <w:rFonts w:asciiTheme="majorHAnsi" w:hAnsiTheme="majorHAnsi" w:cs="Arial"/>
              <w:sz w:val="24"/>
              <w:szCs w:val="24"/>
            </w:rPr>
          </w:pPr>
          <w:r w:rsidRPr="00344311">
            <w:rPr>
              <w:rFonts w:asciiTheme="majorHAnsi" w:hAnsiTheme="majorHAnsi" w:cs="Arial"/>
              <w:sz w:val="24"/>
              <w:szCs w:val="24"/>
            </w:rPr>
            <w:t xml:space="preserve">Utvrđene politike Vlade Federacije BiH u okviru Programa rada Vlade FBiH za mandatni period 2015.-2018. godina. </w:t>
          </w:r>
        </w:p>
        <w:p w:rsidR="0014620C" w:rsidRPr="00344311" w:rsidRDefault="0014620C" w:rsidP="0014620C">
          <w:pPr>
            <w:pStyle w:val="ListParagraph"/>
            <w:numPr>
              <w:ilvl w:val="0"/>
              <w:numId w:val="1"/>
            </w:numPr>
            <w:spacing w:before="240" w:after="240"/>
            <w:jc w:val="both"/>
            <w:rPr>
              <w:rFonts w:asciiTheme="majorHAnsi" w:hAnsiTheme="majorHAnsi" w:cs="Arial"/>
              <w:sz w:val="24"/>
              <w:szCs w:val="24"/>
            </w:rPr>
          </w:pPr>
          <w:r w:rsidRPr="00344311">
            <w:rPr>
              <w:rFonts w:asciiTheme="majorHAnsi" w:hAnsiTheme="majorHAnsi" w:cs="Arial"/>
              <w:sz w:val="24"/>
              <w:szCs w:val="24"/>
            </w:rPr>
            <w:t>Ograničenja javne potrošnje s osnovnim ciljem održavanja stabilnog fiskalnog sistema, kontrole potrošnje, te održavanja budžetske ravnoteže;</w:t>
          </w:r>
        </w:p>
        <w:p w:rsidR="0014620C" w:rsidRPr="00344311" w:rsidRDefault="0014620C" w:rsidP="0014620C">
          <w:pPr>
            <w:pStyle w:val="ListParagraph"/>
            <w:numPr>
              <w:ilvl w:val="0"/>
              <w:numId w:val="1"/>
            </w:numPr>
            <w:spacing w:before="240" w:after="240"/>
            <w:jc w:val="both"/>
            <w:rPr>
              <w:rFonts w:asciiTheme="majorHAnsi" w:hAnsiTheme="majorHAnsi" w:cs="Arial"/>
              <w:sz w:val="24"/>
              <w:szCs w:val="24"/>
            </w:rPr>
          </w:pPr>
          <w:r w:rsidRPr="00344311">
            <w:rPr>
              <w:rFonts w:asciiTheme="majorHAnsi" w:hAnsiTheme="majorHAnsi" w:cs="Arial"/>
              <w:sz w:val="24"/>
              <w:szCs w:val="24"/>
            </w:rPr>
            <w:t>Zakona o plaćama i naknadama u organima vlasti  Federacije Bosne i Hercegovine („Službene novine Federacije BiH“, br. 45/10 i 111/12);</w:t>
          </w:r>
        </w:p>
        <w:p w:rsidR="0014620C" w:rsidRPr="00344311" w:rsidRDefault="0014620C" w:rsidP="0014620C">
          <w:pPr>
            <w:pStyle w:val="ListParagraph"/>
            <w:numPr>
              <w:ilvl w:val="0"/>
              <w:numId w:val="1"/>
            </w:numPr>
            <w:spacing w:before="240" w:after="240"/>
            <w:jc w:val="both"/>
            <w:rPr>
              <w:rFonts w:asciiTheme="majorHAnsi" w:hAnsiTheme="majorHAnsi" w:cs="Arial"/>
              <w:sz w:val="24"/>
              <w:szCs w:val="24"/>
            </w:rPr>
          </w:pPr>
          <w:r w:rsidRPr="00344311">
            <w:rPr>
              <w:rFonts w:asciiTheme="majorHAnsi" w:hAnsiTheme="majorHAnsi" w:cs="Arial"/>
              <w:sz w:val="24"/>
              <w:szCs w:val="24"/>
            </w:rPr>
            <w:t>Zakona o plaćama i naknadama policijskih službenika Federacije Bosne i Hercegovine („Službene novine Federacije BiH“, broj 45/10);</w:t>
          </w:r>
        </w:p>
        <w:p w:rsidR="0014620C" w:rsidRPr="00344311" w:rsidRDefault="0014620C" w:rsidP="0014620C">
          <w:pPr>
            <w:pStyle w:val="ListParagraph"/>
            <w:numPr>
              <w:ilvl w:val="0"/>
              <w:numId w:val="1"/>
            </w:numPr>
            <w:spacing w:before="240" w:after="240"/>
            <w:jc w:val="both"/>
            <w:rPr>
              <w:rFonts w:asciiTheme="majorHAnsi" w:hAnsiTheme="majorHAnsi" w:cs="Arial"/>
              <w:sz w:val="24"/>
              <w:szCs w:val="24"/>
            </w:rPr>
          </w:pPr>
          <w:r w:rsidRPr="00344311">
            <w:rPr>
              <w:rFonts w:asciiTheme="majorHAnsi" w:hAnsiTheme="majorHAnsi" w:cs="Arial"/>
              <w:sz w:val="24"/>
              <w:szCs w:val="24"/>
            </w:rPr>
            <w:t>Zakona o izmjenama i dopunama Zakona o plaćama i drugim naknadama sudija i tužilaca u Federaciji Bosne i Hercegovine („Službene novine Federacije BiH“, broj 55/13);</w:t>
          </w:r>
        </w:p>
        <w:p w:rsidR="0014620C" w:rsidRDefault="0014620C" w:rsidP="0014620C">
          <w:pPr>
            <w:pStyle w:val="ListParagraph"/>
            <w:numPr>
              <w:ilvl w:val="0"/>
              <w:numId w:val="1"/>
            </w:numPr>
            <w:spacing w:before="240" w:after="240"/>
            <w:jc w:val="both"/>
            <w:rPr>
              <w:rFonts w:asciiTheme="majorHAnsi" w:hAnsiTheme="majorHAnsi" w:cs="Arial"/>
              <w:sz w:val="24"/>
              <w:szCs w:val="24"/>
            </w:rPr>
          </w:pPr>
          <w:r w:rsidRPr="00344311">
            <w:rPr>
              <w:rFonts w:asciiTheme="majorHAnsi" w:hAnsiTheme="majorHAnsi" w:cs="Arial"/>
              <w:sz w:val="24"/>
              <w:szCs w:val="24"/>
            </w:rPr>
            <w:t>Ostalih zakona koje sprovode resorna ministarstva Vlade Federacije BiH.</w:t>
          </w:r>
        </w:p>
        <w:p w:rsidR="00A03F7B" w:rsidRDefault="00A03F7B" w:rsidP="0014620C">
          <w:pPr>
            <w:spacing w:before="240" w:after="240"/>
            <w:jc w:val="both"/>
            <w:rPr>
              <w:rFonts w:asciiTheme="majorHAnsi" w:hAnsiTheme="majorHAnsi" w:cs="Arial"/>
              <w:sz w:val="24"/>
              <w:szCs w:val="24"/>
            </w:rPr>
          </w:pPr>
        </w:p>
        <w:p w:rsidR="0055696A" w:rsidRDefault="0055696A" w:rsidP="0014620C">
          <w:pPr>
            <w:spacing w:before="240" w:after="240"/>
            <w:jc w:val="both"/>
            <w:rPr>
              <w:rFonts w:asciiTheme="majorHAnsi" w:hAnsiTheme="majorHAnsi" w:cs="Arial"/>
              <w:sz w:val="24"/>
              <w:szCs w:val="24"/>
            </w:rPr>
          </w:pPr>
        </w:p>
        <w:p w:rsidR="0014620C" w:rsidRPr="00301D43" w:rsidRDefault="0014620C" w:rsidP="0014620C">
          <w:pPr>
            <w:spacing w:before="240" w:after="240"/>
            <w:jc w:val="both"/>
            <w:rPr>
              <w:rFonts w:asciiTheme="majorHAnsi" w:hAnsiTheme="majorHAnsi" w:cs="Arial"/>
              <w:sz w:val="24"/>
              <w:szCs w:val="24"/>
            </w:rPr>
          </w:pPr>
          <w:r w:rsidRPr="00344311">
            <w:rPr>
              <w:rFonts w:asciiTheme="majorHAnsi" w:hAnsiTheme="majorHAnsi" w:cs="Arial"/>
              <w:sz w:val="24"/>
              <w:szCs w:val="24"/>
            </w:rPr>
            <w:lastRenderedPageBreak/>
            <w:t>U postupku izrade ovog dokumenta, Federalno ministarstvo finansija je prema svim budžetskim korisnicima uputilo Instrukcije za izradu izmjena i dopuna Budžeta Federacije Bosne i Hercegovine za 201</w:t>
          </w:r>
          <w:r>
            <w:rPr>
              <w:rFonts w:asciiTheme="majorHAnsi" w:hAnsiTheme="majorHAnsi" w:cs="Arial"/>
              <w:sz w:val="24"/>
              <w:szCs w:val="24"/>
            </w:rPr>
            <w:t>6</w:t>
          </w:r>
          <w:r w:rsidRPr="00344311">
            <w:rPr>
              <w:rFonts w:asciiTheme="majorHAnsi" w:hAnsiTheme="majorHAnsi" w:cs="Arial"/>
              <w:sz w:val="24"/>
              <w:szCs w:val="24"/>
            </w:rPr>
            <w:t>. godinu. Kroz ove instrukcije budžetski korisnici su bili obaviješteni o rokovima, procesima i zahtjevima za dostavu podataka, date im upute za metodologiju pripreme i izrade finansijskih zahtjeva, kao i način i rok dostave finansijskih zahtjeva Federalnom ministarstvu finansija za izradu izmjena i dopuna Budžeta Federacije BiH za 201</w:t>
          </w:r>
          <w:r>
            <w:rPr>
              <w:rFonts w:asciiTheme="majorHAnsi" w:hAnsiTheme="majorHAnsi" w:cs="Arial"/>
              <w:sz w:val="24"/>
              <w:szCs w:val="24"/>
            </w:rPr>
            <w:t>6</w:t>
          </w:r>
          <w:r w:rsidRPr="00344311">
            <w:rPr>
              <w:rFonts w:asciiTheme="majorHAnsi" w:hAnsiTheme="majorHAnsi" w:cs="Arial"/>
              <w:sz w:val="24"/>
              <w:szCs w:val="24"/>
            </w:rPr>
            <w:t xml:space="preserve">. godinu. Posebno je naglašeno da svi budžetski korisnici, moraju preispitati </w:t>
          </w:r>
          <w:r w:rsidRPr="00301D43">
            <w:rPr>
              <w:rFonts w:asciiTheme="majorHAnsi" w:hAnsiTheme="majorHAnsi" w:cs="Arial"/>
              <w:sz w:val="24"/>
              <w:szCs w:val="24"/>
            </w:rPr>
            <w:t>mogućnost predlaganja ušteda u sprovođenju aktivnosti i politika iz svojih resora.</w:t>
          </w:r>
        </w:p>
        <w:p w:rsidR="0014620C" w:rsidRPr="00301D43" w:rsidRDefault="00927DCD" w:rsidP="0014620C">
          <w:pPr>
            <w:spacing w:before="240" w:after="240"/>
            <w:jc w:val="both"/>
            <w:rPr>
              <w:rFonts w:asciiTheme="majorHAnsi" w:eastAsia="Times New Roman" w:hAnsiTheme="majorHAnsi" w:cs="Arial"/>
              <w:sz w:val="24"/>
              <w:szCs w:val="24"/>
              <w:lang w:val="hr-HR"/>
            </w:rPr>
          </w:pPr>
          <w:r w:rsidRPr="00301D43">
            <w:rPr>
              <w:rFonts w:asciiTheme="majorHAnsi" w:eastAsia="Times New Roman" w:hAnsiTheme="majorHAnsi" w:cs="Arial"/>
              <w:sz w:val="24"/>
              <w:szCs w:val="24"/>
              <w:lang w:val="hr-HR"/>
            </w:rPr>
            <w:t>Pored ušteda koje su realizovane</w:t>
          </w:r>
          <w:r w:rsidR="0014620C" w:rsidRPr="00301D43">
            <w:rPr>
              <w:rFonts w:asciiTheme="majorHAnsi" w:eastAsia="Times New Roman" w:hAnsiTheme="majorHAnsi" w:cs="Arial"/>
              <w:sz w:val="24"/>
              <w:szCs w:val="24"/>
              <w:lang w:val="hr-HR"/>
            </w:rPr>
            <w:t xml:space="preserve">, Izmjene i dopune Budžeta se fokusiraju na izvor finansiranja kada je riječ o zaduživanju. Suštinski, Vlada Federacije BiH </w:t>
          </w:r>
          <w:r w:rsidR="000930C3" w:rsidRPr="00301D43">
            <w:rPr>
              <w:rFonts w:asciiTheme="majorHAnsi" w:eastAsia="Times New Roman" w:hAnsiTheme="majorHAnsi" w:cs="Arial"/>
              <w:sz w:val="24"/>
              <w:szCs w:val="24"/>
              <w:lang w:val="hr-HR"/>
            </w:rPr>
            <w:t>iskazala je namjeru da</w:t>
          </w:r>
          <w:r w:rsidR="0014620C" w:rsidRPr="00301D43">
            <w:rPr>
              <w:rFonts w:asciiTheme="majorHAnsi" w:eastAsia="Times New Roman" w:hAnsiTheme="majorHAnsi" w:cs="Arial"/>
              <w:sz w:val="24"/>
              <w:szCs w:val="24"/>
              <w:lang w:val="hr-HR"/>
            </w:rPr>
            <w:t xml:space="preserve"> strane izvore fin</w:t>
          </w:r>
          <w:r w:rsidR="000930C3" w:rsidRPr="00301D43">
            <w:rPr>
              <w:rFonts w:asciiTheme="majorHAnsi" w:eastAsia="Times New Roman" w:hAnsiTheme="majorHAnsi" w:cs="Arial"/>
              <w:sz w:val="24"/>
              <w:szCs w:val="24"/>
              <w:lang w:val="hr-HR"/>
            </w:rPr>
            <w:t xml:space="preserve">ansiranja (MMF, WB) zamjeni domaćim izvorima, odnosno </w:t>
          </w:r>
          <w:r w:rsidR="0014620C" w:rsidRPr="00301D43">
            <w:rPr>
              <w:rFonts w:asciiTheme="majorHAnsi" w:eastAsia="Times New Roman" w:hAnsiTheme="majorHAnsi" w:cs="Arial"/>
              <w:sz w:val="24"/>
              <w:szCs w:val="24"/>
              <w:lang w:val="hr-HR"/>
            </w:rPr>
            <w:t>emisijom vrijednosnih papira na domaćem tržištu kapitala.</w:t>
          </w:r>
        </w:p>
        <w:p w:rsidR="008321CA" w:rsidRPr="00301D43" w:rsidRDefault="00350097" w:rsidP="000930C3">
          <w:pPr>
            <w:spacing w:before="240" w:after="240"/>
            <w:jc w:val="both"/>
            <w:rPr>
              <w:rFonts w:asciiTheme="majorHAnsi" w:hAnsiTheme="majorHAnsi" w:cs="Arial"/>
              <w:sz w:val="24"/>
              <w:szCs w:val="24"/>
            </w:rPr>
          </w:pPr>
          <w:r w:rsidRPr="00301D43">
            <w:rPr>
              <w:rFonts w:asciiTheme="majorHAnsi" w:hAnsiTheme="majorHAnsi" w:cs="Arial"/>
              <w:sz w:val="24"/>
              <w:szCs w:val="24"/>
            </w:rPr>
            <w:t xml:space="preserve">Međutim, relalizaciju pomenutih aktivnosti ograničavaju potencijalni rizici u smislu </w:t>
          </w:r>
          <w:r w:rsidR="008321CA" w:rsidRPr="00301D43">
            <w:rPr>
              <w:rFonts w:asciiTheme="majorHAnsi" w:hAnsiTheme="majorHAnsi" w:cs="Arial"/>
              <w:sz w:val="24"/>
              <w:szCs w:val="24"/>
            </w:rPr>
            <w:t>da</w:t>
          </w:r>
          <w:r w:rsidRPr="00301D43">
            <w:rPr>
              <w:rFonts w:asciiTheme="majorHAnsi" w:hAnsiTheme="majorHAnsi" w:cs="Arial"/>
              <w:sz w:val="24"/>
              <w:szCs w:val="24"/>
            </w:rPr>
            <w:t xml:space="preserve"> su</w:t>
          </w:r>
          <w:r w:rsidR="008321CA" w:rsidRPr="00301D43">
            <w:rPr>
              <w:rFonts w:asciiTheme="majorHAnsi" w:hAnsiTheme="majorHAnsi" w:cs="Arial"/>
              <w:sz w:val="24"/>
              <w:szCs w:val="24"/>
            </w:rPr>
            <w:t xml:space="preserve"> pojedini investitori (komercijalne banke) odobrene limite za izloženost prema javnom sektoru Federacije</w:t>
          </w:r>
          <w:r w:rsidR="000930C3" w:rsidRPr="00301D43">
            <w:rPr>
              <w:rFonts w:asciiTheme="majorHAnsi" w:hAnsiTheme="majorHAnsi" w:cs="Arial"/>
              <w:sz w:val="24"/>
              <w:szCs w:val="24"/>
            </w:rPr>
            <w:t xml:space="preserve"> BiH</w:t>
          </w:r>
          <w:r w:rsidR="008321CA" w:rsidRPr="00301D43">
            <w:rPr>
              <w:rFonts w:asciiTheme="majorHAnsi" w:hAnsiTheme="majorHAnsi" w:cs="Arial"/>
              <w:sz w:val="24"/>
              <w:szCs w:val="24"/>
            </w:rPr>
            <w:t xml:space="preserve"> koriste ili su već iskoristile za kratkoročno kreditiranje Federalnog zavoda za penzijsko invalidsko osiguranje</w:t>
          </w:r>
          <w:r w:rsidRPr="00301D43">
            <w:rPr>
              <w:rFonts w:asciiTheme="majorHAnsi" w:hAnsiTheme="majorHAnsi" w:cs="Arial"/>
              <w:sz w:val="24"/>
              <w:szCs w:val="24"/>
            </w:rPr>
            <w:t xml:space="preserve">. Stoga je </w:t>
          </w:r>
          <w:r w:rsidR="008321CA" w:rsidRPr="00301D43">
            <w:rPr>
              <w:rFonts w:asciiTheme="majorHAnsi" w:hAnsiTheme="majorHAnsi" w:cs="Arial"/>
              <w:sz w:val="24"/>
              <w:szCs w:val="24"/>
            </w:rPr>
            <w:t xml:space="preserve">u cilju </w:t>
          </w:r>
          <w:r w:rsidRPr="00301D43">
            <w:rPr>
              <w:rFonts w:asciiTheme="majorHAnsi" w:hAnsiTheme="majorHAnsi" w:cs="Arial"/>
              <w:sz w:val="24"/>
              <w:szCs w:val="24"/>
            </w:rPr>
            <w:t>umanjenja navedenih rizika</w:t>
          </w:r>
          <w:r w:rsidR="008321CA" w:rsidRPr="00301D43">
            <w:rPr>
              <w:rFonts w:asciiTheme="majorHAnsi" w:hAnsiTheme="majorHAnsi" w:cs="Arial"/>
              <w:sz w:val="24"/>
              <w:szCs w:val="24"/>
            </w:rPr>
            <w:t>, predl</w:t>
          </w:r>
          <w:r w:rsidRPr="00301D43">
            <w:rPr>
              <w:rFonts w:asciiTheme="majorHAnsi" w:hAnsiTheme="majorHAnsi" w:cs="Arial"/>
              <w:sz w:val="24"/>
              <w:szCs w:val="24"/>
            </w:rPr>
            <w:t>oženo</w:t>
          </w:r>
          <w:r w:rsidR="008321CA" w:rsidRPr="00301D43">
            <w:rPr>
              <w:rFonts w:asciiTheme="majorHAnsi" w:hAnsiTheme="majorHAnsi" w:cs="Arial"/>
              <w:sz w:val="24"/>
              <w:szCs w:val="24"/>
            </w:rPr>
            <w:t xml:space="preserve"> da se planirani iznos zaduženja smanji za iznos sredstava koji bi Vlada Federacije</w:t>
          </w:r>
          <w:r w:rsidRPr="00301D43">
            <w:rPr>
              <w:rFonts w:asciiTheme="majorHAnsi" w:hAnsiTheme="majorHAnsi" w:cs="Arial"/>
              <w:sz w:val="24"/>
              <w:szCs w:val="24"/>
            </w:rPr>
            <w:t xml:space="preserve"> BiH</w:t>
          </w:r>
          <w:r w:rsidR="008321CA" w:rsidRPr="00301D43">
            <w:rPr>
              <w:rFonts w:asciiTheme="majorHAnsi" w:hAnsiTheme="majorHAnsi" w:cs="Arial"/>
              <w:sz w:val="24"/>
              <w:szCs w:val="24"/>
            </w:rPr>
            <w:t xml:space="preserve"> mogla</w:t>
          </w:r>
          <w:r w:rsidRPr="00301D43">
            <w:rPr>
              <w:rFonts w:asciiTheme="majorHAnsi" w:hAnsiTheme="majorHAnsi" w:cs="Arial"/>
              <w:sz w:val="24"/>
              <w:szCs w:val="24"/>
            </w:rPr>
            <w:t xml:space="preserve"> povući sa rač</w:t>
          </w:r>
          <w:r w:rsidR="008321CA" w:rsidRPr="00301D43">
            <w:rPr>
              <w:rFonts w:asciiTheme="majorHAnsi" w:hAnsiTheme="majorHAnsi" w:cs="Arial"/>
              <w:sz w:val="24"/>
              <w:szCs w:val="24"/>
            </w:rPr>
            <w:t>una revolving fonda stvorenog u okviru Projekta poboljšanja pristupa malih i srednjih preduzeća finansijskim sredstvima koji je finansiran kreditnim sredstvima Svjetske banke. Imajući u vidu trenutnu likvidnost bankarskog sektora u Federaciji</w:t>
          </w:r>
          <w:r w:rsidR="000930C3" w:rsidRPr="00301D43">
            <w:rPr>
              <w:rFonts w:asciiTheme="majorHAnsi" w:hAnsiTheme="majorHAnsi" w:cs="Arial"/>
              <w:sz w:val="24"/>
              <w:szCs w:val="24"/>
            </w:rPr>
            <w:t xml:space="preserve"> BiH</w:t>
          </w:r>
          <w:r w:rsidR="008321CA" w:rsidRPr="00301D43">
            <w:rPr>
              <w:rFonts w:asciiTheme="majorHAnsi" w:hAnsiTheme="majorHAnsi" w:cs="Arial"/>
              <w:sz w:val="24"/>
              <w:szCs w:val="24"/>
            </w:rPr>
            <w:t>, preusmjeravanje dijela sredsta</w:t>
          </w:r>
          <w:r w:rsidR="000930C3" w:rsidRPr="00301D43">
            <w:rPr>
              <w:rFonts w:asciiTheme="majorHAnsi" w:hAnsiTheme="majorHAnsi" w:cs="Arial"/>
              <w:sz w:val="24"/>
              <w:szCs w:val="24"/>
            </w:rPr>
            <w:t>va navedenog revolving fonda u B</w:t>
          </w:r>
          <w:r w:rsidR="008321CA" w:rsidRPr="00301D43">
            <w:rPr>
              <w:rFonts w:asciiTheme="majorHAnsi" w:hAnsiTheme="majorHAnsi" w:cs="Arial"/>
              <w:sz w:val="24"/>
              <w:szCs w:val="24"/>
            </w:rPr>
            <w:t>udžet</w:t>
          </w:r>
          <w:r w:rsidR="000930C3" w:rsidRPr="00301D43">
            <w:rPr>
              <w:rFonts w:asciiTheme="majorHAnsi" w:hAnsiTheme="majorHAnsi" w:cs="Arial"/>
              <w:sz w:val="24"/>
              <w:szCs w:val="24"/>
            </w:rPr>
            <w:t xml:space="preserve"> Federacije BiH</w:t>
          </w:r>
          <w:r w:rsidR="008321CA" w:rsidRPr="00301D43">
            <w:rPr>
              <w:rFonts w:asciiTheme="majorHAnsi" w:hAnsiTheme="majorHAnsi" w:cs="Arial"/>
              <w:sz w:val="24"/>
              <w:szCs w:val="24"/>
            </w:rPr>
            <w:t xml:space="preserve">, u ovom trenutku ne bi ugrozilo dostupnost finansijskih sredstava malim i srednjim preduzećima </w:t>
          </w:r>
          <w:r w:rsidR="00927DCD" w:rsidRPr="00301D43">
            <w:rPr>
              <w:rFonts w:asciiTheme="majorHAnsi" w:hAnsiTheme="majorHAnsi" w:cs="Arial"/>
              <w:sz w:val="24"/>
              <w:szCs w:val="24"/>
            </w:rPr>
            <w:t>.</w:t>
          </w:r>
        </w:p>
        <w:p w:rsidR="0014620C" w:rsidRDefault="008321CA" w:rsidP="000930C3">
          <w:pPr>
            <w:spacing w:before="240" w:after="240"/>
            <w:jc w:val="both"/>
            <w:rPr>
              <w:rFonts w:asciiTheme="majorHAnsi" w:hAnsiTheme="majorHAnsi" w:cs="Arial"/>
              <w:sz w:val="24"/>
              <w:szCs w:val="24"/>
            </w:rPr>
          </w:pPr>
          <w:r w:rsidRPr="00301D43">
            <w:rPr>
              <w:rFonts w:asciiTheme="majorHAnsi" w:hAnsiTheme="majorHAnsi" w:cs="Arial"/>
              <w:sz w:val="24"/>
              <w:szCs w:val="24"/>
            </w:rPr>
            <w:t>Slijedom navedenog</w:t>
          </w:r>
          <w:r w:rsidR="000930C3" w:rsidRPr="00301D43">
            <w:rPr>
              <w:rFonts w:asciiTheme="majorHAnsi" w:hAnsiTheme="majorHAnsi" w:cs="Arial"/>
              <w:sz w:val="24"/>
              <w:szCs w:val="24"/>
            </w:rPr>
            <w:t>, predložen je</w:t>
          </w:r>
          <w:r w:rsidRPr="00301D43">
            <w:rPr>
              <w:rFonts w:asciiTheme="majorHAnsi" w:hAnsiTheme="majorHAnsi" w:cs="Arial"/>
              <w:sz w:val="24"/>
              <w:szCs w:val="24"/>
            </w:rPr>
            <w:t xml:space="preserve"> iznos od 50,0 mil KM iz navedenog revolving fonda</w:t>
          </w:r>
          <w:r w:rsidR="000930C3" w:rsidRPr="00301D43">
            <w:rPr>
              <w:rFonts w:asciiTheme="majorHAnsi" w:hAnsiTheme="majorHAnsi" w:cs="Arial"/>
              <w:sz w:val="24"/>
              <w:szCs w:val="24"/>
            </w:rPr>
            <w:t>, na osnovu kojeg je smanjena potreba</w:t>
          </w:r>
          <w:r w:rsidRPr="00301D43">
            <w:rPr>
              <w:rFonts w:asciiTheme="majorHAnsi" w:hAnsiTheme="majorHAnsi" w:cs="Arial"/>
              <w:sz w:val="24"/>
              <w:szCs w:val="24"/>
            </w:rPr>
            <w:t xml:space="preserve"> za zaduživanjem u ekvivalentnom iznosu.</w:t>
          </w:r>
          <w:r w:rsidR="000930C3" w:rsidRPr="00301D43">
            <w:rPr>
              <w:rFonts w:asciiTheme="majorHAnsi" w:hAnsiTheme="majorHAnsi" w:cs="Arial"/>
              <w:sz w:val="24"/>
              <w:szCs w:val="24"/>
            </w:rPr>
            <w:t xml:space="preserve"> </w:t>
          </w:r>
          <w:r w:rsidRPr="00301D43">
            <w:rPr>
              <w:rFonts w:asciiTheme="majorHAnsi" w:hAnsiTheme="majorHAnsi" w:cs="Arial"/>
              <w:sz w:val="24"/>
              <w:szCs w:val="24"/>
            </w:rPr>
            <w:t xml:space="preserve">Ostatak potrebnih sredstava u iznosu od 150,0 mil KM </w:t>
          </w:r>
          <w:r w:rsidR="000930C3" w:rsidRPr="00301D43">
            <w:rPr>
              <w:rFonts w:asciiTheme="majorHAnsi" w:hAnsiTheme="majorHAnsi" w:cs="Arial"/>
              <w:sz w:val="24"/>
              <w:szCs w:val="24"/>
            </w:rPr>
            <w:t>planiran je</w:t>
          </w:r>
          <w:r w:rsidRPr="00301D43">
            <w:rPr>
              <w:rFonts w:asciiTheme="majorHAnsi" w:hAnsiTheme="majorHAnsi" w:cs="Arial"/>
              <w:sz w:val="24"/>
              <w:szCs w:val="24"/>
            </w:rPr>
            <w:t xml:space="preserve"> na poziciji domaćeg zaduživanja (trezorski zapisi i obveznice), od čega 50,0 mil KM u formi trezorskih zapisa i 100,0 mil</w:t>
          </w:r>
          <w:r w:rsidR="000930C3" w:rsidRPr="00301D43">
            <w:rPr>
              <w:rFonts w:asciiTheme="majorHAnsi" w:hAnsiTheme="majorHAnsi" w:cs="Arial"/>
              <w:sz w:val="24"/>
              <w:szCs w:val="24"/>
            </w:rPr>
            <w:t>. KM</w:t>
          </w:r>
          <w:r w:rsidRPr="00301D43">
            <w:rPr>
              <w:rFonts w:asciiTheme="majorHAnsi" w:hAnsiTheme="majorHAnsi" w:cs="Arial"/>
              <w:sz w:val="24"/>
              <w:szCs w:val="24"/>
            </w:rPr>
            <w:t xml:space="preserve"> obveznica.</w:t>
          </w:r>
        </w:p>
        <w:p w:rsidR="000930C3" w:rsidRDefault="000930C3" w:rsidP="000930C3">
          <w:pPr>
            <w:spacing w:before="240" w:after="240"/>
            <w:jc w:val="both"/>
            <w:rPr>
              <w:rFonts w:asciiTheme="majorHAnsi" w:hAnsiTheme="majorHAnsi" w:cs="Arial"/>
              <w:sz w:val="24"/>
              <w:szCs w:val="24"/>
            </w:rPr>
          </w:pPr>
        </w:p>
        <w:p w:rsidR="00231623" w:rsidRPr="000930C3" w:rsidRDefault="00231623" w:rsidP="000930C3">
          <w:pPr>
            <w:spacing w:before="240" w:after="240"/>
            <w:jc w:val="both"/>
            <w:rPr>
              <w:rFonts w:asciiTheme="majorHAnsi" w:hAnsiTheme="majorHAnsi" w:cs="Arial"/>
              <w:sz w:val="24"/>
              <w:szCs w:val="24"/>
            </w:rPr>
          </w:pPr>
        </w:p>
        <w:p w:rsidR="00A03F7B" w:rsidRDefault="00A03F7B" w:rsidP="002E7F35">
          <w:pPr>
            <w:spacing w:after="0" w:line="240" w:lineRule="auto"/>
            <w:jc w:val="both"/>
            <w:rPr>
              <w:rFonts w:ascii="Arial" w:hAnsi="Arial" w:cs="Arial"/>
              <w:sz w:val="24"/>
              <w:highlight w:val="yellow"/>
            </w:rPr>
          </w:pPr>
        </w:p>
        <w:p w:rsidR="00A03F7B" w:rsidRDefault="00A03F7B" w:rsidP="002E7F35">
          <w:pPr>
            <w:spacing w:after="0" w:line="240" w:lineRule="auto"/>
            <w:jc w:val="both"/>
            <w:rPr>
              <w:rFonts w:ascii="Arial" w:hAnsi="Arial" w:cs="Arial"/>
              <w:sz w:val="24"/>
              <w:highlight w:val="yellow"/>
            </w:rPr>
          </w:pPr>
        </w:p>
        <w:p w:rsidR="002E7F35" w:rsidRPr="001F212B" w:rsidRDefault="00E17B22" w:rsidP="002E7F35">
          <w:pPr>
            <w:spacing w:after="0" w:line="240" w:lineRule="auto"/>
            <w:jc w:val="both"/>
            <w:rPr>
              <w:rFonts w:ascii="Arial" w:hAnsi="Arial" w:cs="Arial"/>
              <w:sz w:val="24"/>
              <w:highlight w:val="yellow"/>
            </w:rPr>
          </w:pPr>
        </w:p>
      </w:sdtContent>
    </w:sdt>
    <w:tbl>
      <w:tblPr>
        <w:tblpPr w:leftFromText="180" w:rightFromText="180" w:vertAnchor="text" w:horzAnchor="margin" w:tblpXSpec="center" w:tblpY="27"/>
        <w:tblW w:w="5061" w:type="pct"/>
        <w:tblCellMar>
          <w:left w:w="360" w:type="dxa"/>
          <w:right w:w="360" w:type="dxa"/>
        </w:tblCellMar>
        <w:tblLook w:val="04A0" w:firstRow="1" w:lastRow="0" w:firstColumn="1" w:lastColumn="0" w:noHBand="0" w:noVBand="1"/>
      </w:tblPr>
      <w:tblGrid>
        <w:gridCol w:w="993"/>
        <w:gridCol w:w="8481"/>
      </w:tblGrid>
      <w:tr w:rsidR="002E7F35" w:rsidRPr="00184EAF" w:rsidTr="003E7961">
        <w:trPr>
          <w:trHeight w:val="633"/>
        </w:trPr>
        <w:tc>
          <w:tcPr>
            <w:tcW w:w="524" w:type="pct"/>
            <w:shd w:val="clear" w:color="auto" w:fill="4F6228" w:themeFill="accent3" w:themeFillShade="80"/>
            <w:vAlign w:val="center"/>
          </w:tcPr>
          <w:p w:rsidR="002E7F35" w:rsidRPr="00184EAF" w:rsidRDefault="002E7F35" w:rsidP="002E7F35">
            <w:pPr>
              <w:pStyle w:val="NoSpacing"/>
              <w:jc w:val="center"/>
              <w:rPr>
                <w:rFonts w:asciiTheme="majorHAnsi" w:hAnsiTheme="majorHAnsi"/>
                <w:b/>
                <w:smallCaps/>
                <w:color w:val="FFFFFF" w:themeColor="background1"/>
                <w:sz w:val="32"/>
                <w:szCs w:val="24"/>
              </w:rPr>
            </w:pPr>
            <w:r w:rsidRPr="00184EAF">
              <w:rPr>
                <w:rFonts w:asciiTheme="majorHAnsi" w:hAnsiTheme="majorHAnsi"/>
                <w:b/>
                <w:smallCaps/>
                <w:color w:val="FFFFFF" w:themeColor="background1"/>
                <w:sz w:val="32"/>
                <w:szCs w:val="24"/>
              </w:rPr>
              <w:lastRenderedPageBreak/>
              <w:t>2.</w:t>
            </w:r>
          </w:p>
        </w:tc>
        <w:tc>
          <w:tcPr>
            <w:tcW w:w="4476" w:type="pct"/>
            <w:shd w:val="clear" w:color="auto" w:fill="C2D69B" w:themeFill="accent3" w:themeFillTint="99"/>
            <w:vAlign w:val="center"/>
          </w:tcPr>
          <w:p w:rsidR="002E7F35" w:rsidRPr="00184EAF" w:rsidRDefault="00231623" w:rsidP="00184EAF">
            <w:pPr>
              <w:pStyle w:val="NoSpacing"/>
              <w:rPr>
                <w:rFonts w:asciiTheme="majorHAnsi" w:hAnsiTheme="majorHAnsi"/>
                <w:b/>
                <w:smallCaps/>
                <w:color w:val="FFFFFF" w:themeColor="background1"/>
                <w:sz w:val="32"/>
                <w:szCs w:val="32"/>
                <w:lang w:val="de-DE"/>
              </w:rPr>
            </w:pPr>
            <w:r>
              <w:rPr>
                <w:rFonts w:asciiTheme="majorHAnsi" w:hAnsiTheme="majorHAnsi"/>
                <w:b/>
                <w:smallCaps/>
                <w:sz w:val="32"/>
                <w:szCs w:val="32"/>
                <w:lang w:val="de-DE"/>
              </w:rPr>
              <w:t>MAKROEKONOMSKI POKAZATELJI</w:t>
            </w:r>
            <w:r>
              <w:rPr>
                <w:rStyle w:val="FootnoteReference"/>
                <w:rFonts w:asciiTheme="majorHAnsi" w:hAnsiTheme="majorHAnsi"/>
                <w:b/>
                <w:smallCaps/>
                <w:sz w:val="32"/>
                <w:szCs w:val="32"/>
                <w:lang w:val="de-DE"/>
              </w:rPr>
              <w:footnoteReference w:id="1"/>
            </w:r>
          </w:p>
        </w:tc>
      </w:tr>
    </w:tbl>
    <w:p w:rsidR="002E7F35" w:rsidRPr="001F212B" w:rsidRDefault="002E7F35" w:rsidP="00152317">
      <w:pPr>
        <w:autoSpaceDE w:val="0"/>
        <w:autoSpaceDN w:val="0"/>
        <w:adjustRightInd w:val="0"/>
        <w:spacing w:after="0" w:line="240" w:lineRule="auto"/>
        <w:jc w:val="both"/>
        <w:rPr>
          <w:rFonts w:ascii="Arial" w:hAnsi="Arial" w:cs="Arial"/>
          <w:sz w:val="24"/>
          <w:szCs w:val="24"/>
          <w:highlight w:val="yellow"/>
        </w:rPr>
      </w:pPr>
    </w:p>
    <w:p w:rsidR="00231623" w:rsidRDefault="00231623" w:rsidP="00E73E0E">
      <w:pPr>
        <w:autoSpaceDE w:val="0"/>
        <w:autoSpaceDN w:val="0"/>
        <w:adjustRightInd w:val="0"/>
        <w:spacing w:after="0" w:line="240" w:lineRule="auto"/>
        <w:jc w:val="both"/>
        <w:rPr>
          <w:rFonts w:asciiTheme="majorHAnsi" w:hAnsiTheme="majorHAnsi" w:cs="Arial"/>
          <w:sz w:val="24"/>
          <w:szCs w:val="24"/>
        </w:rPr>
      </w:pPr>
    </w:p>
    <w:p w:rsidR="00073FDC" w:rsidRDefault="00073FDC" w:rsidP="009539DA">
      <w:pPr>
        <w:pStyle w:val="Default"/>
        <w:spacing w:line="276" w:lineRule="auto"/>
        <w:jc w:val="both"/>
        <w:rPr>
          <w:rFonts w:asciiTheme="majorHAnsi" w:hAnsiTheme="majorHAnsi"/>
          <w:noProof/>
          <w:color w:val="auto"/>
          <w:lang w:val="bs-Latn-BA"/>
        </w:rPr>
      </w:pPr>
    </w:p>
    <w:p w:rsidR="00073FDC" w:rsidRDefault="00073FDC" w:rsidP="009539DA">
      <w:pPr>
        <w:pStyle w:val="Default"/>
        <w:spacing w:line="276" w:lineRule="auto"/>
        <w:jc w:val="both"/>
        <w:rPr>
          <w:rFonts w:asciiTheme="majorHAnsi" w:hAnsiTheme="majorHAnsi"/>
          <w:noProof/>
          <w:color w:val="auto"/>
          <w:lang w:val="bs-Latn-BA"/>
        </w:rPr>
      </w:pPr>
    </w:p>
    <w:p w:rsidR="009539DA" w:rsidRPr="009539DA" w:rsidRDefault="009539DA" w:rsidP="009539DA">
      <w:pPr>
        <w:pStyle w:val="Default"/>
        <w:spacing w:line="276" w:lineRule="auto"/>
        <w:jc w:val="both"/>
        <w:rPr>
          <w:rFonts w:asciiTheme="majorHAnsi" w:hAnsiTheme="majorHAnsi"/>
          <w:noProof/>
          <w:color w:val="auto"/>
          <w:lang w:val="bs-Latn-BA"/>
        </w:rPr>
      </w:pPr>
      <w:r w:rsidRPr="009539DA">
        <w:rPr>
          <w:rFonts w:asciiTheme="majorHAnsi" w:hAnsiTheme="majorHAnsi"/>
          <w:noProof/>
          <w:color w:val="auto"/>
          <w:lang w:val="bs-Latn-BA"/>
        </w:rPr>
        <w:t>Makroekonomska kretanja u srednjoročnom periodu imaju uglavnom pozitivan trend, te fokus izvoznih i ekonomskih mjera BiH treba svakako usmjeriti na rast BDP-a zemalja iz okruženja i regije, iako je u istim tim zemljama u prethodnom periodu vladala makroekonomska nestabilnost. Nakon pozitivnih makroekonomskih dešavanja koja su dovela do povoljnijeg vanjskog okruženja, prestanka pada investicija, te postepenog rasta zaposlenosti nakon višegodišnjeg realnog rasta izvoza od preko 5% u prosjeku, očekuje se da bi ekonomski rast u 2016. godini trebao dostići stopu od 3,1%.  Prema ocjenama Federalnog zavoda za programiranje razvoja očekuje se da će realan rast BDP-a u FBiH u  2016. godini iznositi 2,2%.  Očekivanja su da će BDP zabilježiti realan rast u 2016. godini od 3,9%.</w:t>
      </w:r>
    </w:p>
    <w:p w:rsidR="009539DA" w:rsidRPr="009539DA" w:rsidRDefault="009539DA" w:rsidP="009539DA">
      <w:pPr>
        <w:pStyle w:val="Default"/>
        <w:jc w:val="both"/>
        <w:rPr>
          <w:rFonts w:asciiTheme="majorHAnsi" w:hAnsiTheme="majorHAnsi"/>
          <w:noProof/>
          <w:color w:val="auto"/>
          <w:lang w:val="bs-Latn-BA"/>
        </w:rPr>
      </w:pPr>
    </w:p>
    <w:p w:rsidR="009539DA" w:rsidRPr="009539DA" w:rsidRDefault="009539DA" w:rsidP="009539DA">
      <w:pPr>
        <w:pStyle w:val="NoSpacing"/>
        <w:spacing w:line="276" w:lineRule="auto"/>
        <w:jc w:val="both"/>
        <w:rPr>
          <w:rFonts w:asciiTheme="majorHAnsi" w:eastAsiaTheme="minorHAnsi" w:hAnsiTheme="majorHAnsi" w:cs="Arial"/>
          <w:noProof/>
          <w:sz w:val="24"/>
          <w:szCs w:val="24"/>
          <w:lang w:val="bs-Latn-BA"/>
        </w:rPr>
      </w:pPr>
      <w:r w:rsidRPr="009539DA">
        <w:rPr>
          <w:rFonts w:asciiTheme="majorHAnsi" w:eastAsiaTheme="minorHAnsi" w:hAnsiTheme="majorHAnsi" w:cs="Arial"/>
          <w:noProof/>
          <w:sz w:val="24"/>
          <w:szCs w:val="24"/>
          <w:lang w:val="bs-Latn-BA"/>
        </w:rPr>
        <w:t>Postepeni ekonomski oporavak u Eurozoni i zemljama regiona, koji se manifestovao kroz nešto viši nivo ekonomskog rasta u odnosu na prethodnu godinu, imao je pozitivne implikacije na industrijsku proizvodnju u Bosni i Hercegovini. BiH je tokom  prvog polugodišta 2016. godine ostvarila povećanje fizičkog obima industrijske proizvodnje od 4,6% u odnosu na isti period prethodne godine koji je istovremeno bio praćen i povećanjem broja zaposlenih. Unatoč određenim izazovima kao što je  nizak nivo cijena berzanskih roba, nastavak  trenda rasta industrijske proizvodnje u  BiH ostvaren je prevenstveno zahvaljujući izvoznoj tražnji u glavnim trgovinskim partnerima. Ovo na neki način  potvrđuje i činjenica da je rast industrijske proizvodnje ostvaren ponajviše zahvaljujući izvozno orjentiranim granama prerađivačke industrije koja je ostvarila polugodišnji rast proizvodnje od 6,3%.</w:t>
      </w:r>
    </w:p>
    <w:p w:rsidR="009539DA" w:rsidRPr="009539DA" w:rsidRDefault="009539DA" w:rsidP="009539DA">
      <w:pPr>
        <w:pStyle w:val="NoSpacing"/>
        <w:spacing w:line="276" w:lineRule="auto"/>
        <w:jc w:val="both"/>
        <w:rPr>
          <w:rFonts w:asciiTheme="majorHAnsi" w:eastAsiaTheme="minorHAnsi" w:hAnsiTheme="majorHAnsi" w:cs="Arial"/>
          <w:noProof/>
          <w:sz w:val="24"/>
          <w:szCs w:val="24"/>
          <w:lang w:val="bs-Latn-BA"/>
        </w:rPr>
      </w:pPr>
    </w:p>
    <w:p w:rsidR="009539DA" w:rsidRPr="009539DA" w:rsidRDefault="009539DA" w:rsidP="009539DA">
      <w:pPr>
        <w:pStyle w:val="NoSpacing"/>
        <w:spacing w:line="276" w:lineRule="auto"/>
        <w:jc w:val="both"/>
        <w:rPr>
          <w:rFonts w:asciiTheme="majorHAnsi" w:eastAsiaTheme="minorHAnsi" w:hAnsiTheme="majorHAnsi" w:cs="Arial"/>
          <w:noProof/>
          <w:sz w:val="24"/>
          <w:szCs w:val="24"/>
          <w:lang w:val="bs-Latn-BA"/>
        </w:rPr>
      </w:pPr>
      <w:r w:rsidRPr="009539DA">
        <w:rPr>
          <w:rFonts w:asciiTheme="majorHAnsi" w:eastAsiaTheme="minorHAnsi" w:hAnsiTheme="majorHAnsi" w:cs="Arial"/>
          <w:noProof/>
          <w:sz w:val="24"/>
          <w:szCs w:val="24"/>
          <w:lang w:val="bs-Latn-BA"/>
        </w:rPr>
        <w:t>Pored prerađivačke industrije u prvom polugodištu  2016. godine blago povećanje proizvodnje registrirano je u okviru sektora rudarstvo i  iznosilo je 2,6%, dok je značajniji doprinos sektora za proizvodnju električne energije izostao usljed stagnacije proizvodnje. Pod pretpostavkom očuvanja pozitivnog trenda u eksternom okruženju uz  dodatni doprinos internih dešavanja tokom 2016. godine u BiH se može očekivati  rast industrijske proizvodnje od  preko  4%.</w:t>
      </w:r>
    </w:p>
    <w:p w:rsidR="009539DA" w:rsidRPr="009539DA" w:rsidRDefault="009539DA" w:rsidP="009539DA">
      <w:pPr>
        <w:pStyle w:val="NoSpacing"/>
        <w:rPr>
          <w:rFonts w:asciiTheme="majorHAnsi" w:eastAsiaTheme="minorHAnsi" w:hAnsiTheme="majorHAnsi" w:cs="Arial"/>
          <w:noProof/>
          <w:sz w:val="24"/>
          <w:szCs w:val="24"/>
          <w:lang w:val="bs-Latn-BA"/>
        </w:rPr>
      </w:pPr>
    </w:p>
    <w:p w:rsidR="009539DA" w:rsidRDefault="009539DA" w:rsidP="009539DA">
      <w:pPr>
        <w:pStyle w:val="NoSpacing"/>
        <w:spacing w:line="276" w:lineRule="auto"/>
        <w:jc w:val="both"/>
        <w:rPr>
          <w:rFonts w:asciiTheme="majorHAnsi" w:eastAsiaTheme="minorHAnsi" w:hAnsiTheme="majorHAnsi" w:cs="Arial"/>
          <w:noProof/>
          <w:sz w:val="24"/>
          <w:szCs w:val="24"/>
          <w:lang w:val="bs-Latn-BA"/>
        </w:rPr>
      </w:pPr>
      <w:r w:rsidRPr="009539DA">
        <w:rPr>
          <w:rFonts w:asciiTheme="majorHAnsi" w:eastAsiaTheme="minorHAnsi" w:hAnsiTheme="majorHAnsi" w:cs="Arial"/>
          <w:noProof/>
          <w:sz w:val="24"/>
          <w:szCs w:val="24"/>
          <w:lang w:val="bs-Latn-BA"/>
        </w:rPr>
        <w:t>Prosječan broj zaposlenih lica u BiH u periodu I-VI 2016. godine je iznosio 720,5 hiljada uz stopu rasta od 1,5% g/g. Istovremeno, prosječan broj nezaposlenih lica u BiH je smanjen za 3,1% g/g. Administrativna stopa nezaposlenosti u periodu I-VI 2016. godine smanjena je za 1,1 p.p. i iznosi 42,3%. Anketna stopa nezaposlenosti je iznosila 25,4</w:t>
      </w:r>
      <w:r>
        <w:rPr>
          <w:rFonts w:asciiTheme="majorHAnsi" w:eastAsiaTheme="minorHAnsi" w:hAnsiTheme="majorHAnsi" w:cs="Arial"/>
          <w:noProof/>
          <w:sz w:val="24"/>
          <w:szCs w:val="24"/>
          <w:lang w:val="bs-Latn-BA"/>
        </w:rPr>
        <w:t xml:space="preserve">%. </w:t>
      </w:r>
    </w:p>
    <w:p w:rsidR="009539DA" w:rsidRPr="009539DA" w:rsidRDefault="009539DA" w:rsidP="009539DA">
      <w:pPr>
        <w:pStyle w:val="NoSpacing"/>
        <w:spacing w:line="276" w:lineRule="auto"/>
        <w:jc w:val="both"/>
        <w:rPr>
          <w:rFonts w:asciiTheme="majorHAnsi" w:eastAsiaTheme="minorHAnsi" w:hAnsiTheme="majorHAnsi" w:cs="Arial"/>
          <w:noProof/>
          <w:sz w:val="24"/>
          <w:szCs w:val="24"/>
          <w:lang w:val="bs-Latn-BA"/>
        </w:rPr>
      </w:pPr>
      <w:r w:rsidRPr="009539DA">
        <w:rPr>
          <w:rFonts w:asciiTheme="majorHAnsi" w:eastAsiaTheme="minorHAnsi" w:hAnsiTheme="majorHAnsi" w:cs="Arial"/>
          <w:noProof/>
          <w:sz w:val="24"/>
          <w:szCs w:val="24"/>
          <w:lang w:val="bs-Latn-BA"/>
        </w:rPr>
        <w:t xml:space="preserve">Uz povećanje broja zaposlenih lica prosječna neto plata u BiH u periodu I-VI 2016. godine je iznosila 834 KM i uvećana je za 0,6% g/g uz nešto brži realni rast (oko 2%) zbog deflacije. </w:t>
      </w:r>
      <w:r w:rsidRPr="009539DA">
        <w:rPr>
          <w:rFonts w:asciiTheme="majorHAnsi" w:eastAsiaTheme="minorHAnsi" w:hAnsiTheme="majorHAnsi" w:cs="Arial"/>
          <w:noProof/>
          <w:sz w:val="24"/>
          <w:szCs w:val="24"/>
          <w:lang w:val="bs-Latn-BA"/>
        </w:rPr>
        <w:lastRenderedPageBreak/>
        <w:t>Slično kretanje na tržištu rada BiH se očekuje do kraja godine, odnosno u BiH u 2016. godini se može očekivati rast broja zaposlenih od 1,5% uz povećanje prosječne neto plate oko 0,6% (nominalni rast). Imajući u vidu planirane aktivnosti Vlade Federacije BiH, očekuje se da bi ukupan broj zaposlenih u Federaciji BiH mogao dostići stopu rasta od 1,1% u 2016. godini, te se očekuje smanjenje broja nezaposlenih u 2016. godini za 0,5%.</w:t>
      </w:r>
    </w:p>
    <w:p w:rsidR="009539DA" w:rsidRPr="009539DA" w:rsidRDefault="009539DA" w:rsidP="009539DA">
      <w:pPr>
        <w:pStyle w:val="Default"/>
        <w:rPr>
          <w:rFonts w:asciiTheme="majorHAnsi" w:hAnsiTheme="majorHAnsi"/>
          <w:noProof/>
          <w:color w:val="auto"/>
          <w:lang w:val="bs-Latn-BA"/>
        </w:rPr>
      </w:pPr>
    </w:p>
    <w:p w:rsidR="009539DA" w:rsidRPr="009539DA" w:rsidRDefault="009539DA" w:rsidP="009539DA">
      <w:pPr>
        <w:pStyle w:val="Default"/>
        <w:spacing w:line="276" w:lineRule="auto"/>
        <w:jc w:val="both"/>
        <w:rPr>
          <w:rFonts w:asciiTheme="majorHAnsi" w:hAnsiTheme="majorHAnsi"/>
          <w:noProof/>
          <w:color w:val="auto"/>
          <w:lang w:val="bs-Latn-BA"/>
        </w:rPr>
      </w:pPr>
      <w:r w:rsidRPr="009539DA">
        <w:rPr>
          <w:rFonts w:asciiTheme="majorHAnsi" w:hAnsiTheme="majorHAnsi"/>
          <w:noProof/>
          <w:color w:val="auto"/>
          <w:lang w:val="bs-Latn-BA"/>
        </w:rPr>
        <w:t>U periodu I-VII 2016. godine nastavljen je trend smanjenja opšteg nivoa cijena u BiH (deflacija 1,3%). Niže cijene energenata na svjetskom tržištu (prvenstveno nafte) i hrane su značajno determinisale kretanje cijena u BiH, te je najveći doprinos deflaciji bio u odjeljcima prevoza, odjeće i obuće, hrane i bezalkoholnih pića.</w:t>
      </w:r>
    </w:p>
    <w:p w:rsidR="009539DA" w:rsidRPr="009539DA" w:rsidRDefault="009539DA" w:rsidP="009539DA">
      <w:pPr>
        <w:pStyle w:val="Default"/>
        <w:spacing w:line="276" w:lineRule="auto"/>
        <w:jc w:val="both"/>
        <w:rPr>
          <w:rFonts w:asciiTheme="majorHAnsi" w:hAnsiTheme="majorHAnsi"/>
          <w:noProof/>
          <w:color w:val="auto"/>
          <w:lang w:val="bs-Latn-BA"/>
        </w:rPr>
      </w:pPr>
    </w:p>
    <w:p w:rsidR="009539DA" w:rsidRPr="009539DA" w:rsidRDefault="009539DA" w:rsidP="009539DA">
      <w:pPr>
        <w:autoSpaceDE w:val="0"/>
        <w:autoSpaceDN w:val="0"/>
        <w:adjustRightInd w:val="0"/>
        <w:spacing w:after="0"/>
        <w:jc w:val="both"/>
        <w:rPr>
          <w:rFonts w:asciiTheme="majorHAnsi" w:hAnsiTheme="majorHAnsi" w:cs="Arial"/>
          <w:sz w:val="24"/>
          <w:szCs w:val="24"/>
        </w:rPr>
      </w:pPr>
      <w:r w:rsidRPr="009539DA">
        <w:rPr>
          <w:rFonts w:asciiTheme="majorHAnsi" w:hAnsiTheme="majorHAnsi" w:cs="Arial"/>
          <w:sz w:val="24"/>
          <w:szCs w:val="24"/>
        </w:rPr>
        <w:t>Federacija BiH je u periodu I-VII 2016 ostvarila izvoz u ukupnoj vrijednosti 3.539.629 hiljada KM, što je za 1,6% manje u odnosu na isti period prethodne godine. Vrijednost izvoza za juli 2016. iznosi 502.487 hiljada KM, što je za 8,9% manje u odnosu na isti mjesec prethodne godine, a 11,8% manje u odnosu na juni 2016. Uvoz Federacije BiH u periodu I-VII 2016 iznosio je 6.153.702 hiljada KM, što je za 0,1% manje u odnosu na isti period prethodne godine. Vrijednost uvoza za juli 2016. iznosi 894.206 hiljada KM, što je za 8,8% manje u odnosu isti mjesec prethodne godine, a 7,1% manje u odnosu na juni 2016. Procenat pokrivenosti uvoza izvozom Federacije BiH za period I-VII 2016 je 57,5% i manji je za 0,9% u odnosu na isti period prethodne godine kada je pokrivenost iznosila 58,4%, odnosno manji za 0,2% u odnosu na period I-VI 2016., kada je pokrivenost iznosila 57,7%.</w:t>
      </w:r>
    </w:p>
    <w:p w:rsidR="009539DA" w:rsidRPr="009539DA" w:rsidRDefault="009539DA" w:rsidP="009539DA">
      <w:pPr>
        <w:autoSpaceDE w:val="0"/>
        <w:autoSpaceDN w:val="0"/>
        <w:adjustRightInd w:val="0"/>
        <w:spacing w:after="0"/>
        <w:jc w:val="both"/>
        <w:rPr>
          <w:rFonts w:asciiTheme="majorHAnsi" w:hAnsiTheme="majorHAnsi" w:cs="Arial"/>
          <w:sz w:val="24"/>
          <w:szCs w:val="24"/>
        </w:rPr>
      </w:pPr>
    </w:p>
    <w:p w:rsidR="009539DA" w:rsidRDefault="009539DA" w:rsidP="009539DA">
      <w:pPr>
        <w:autoSpaceDE w:val="0"/>
        <w:autoSpaceDN w:val="0"/>
        <w:adjustRightInd w:val="0"/>
        <w:spacing w:after="0"/>
        <w:jc w:val="both"/>
        <w:rPr>
          <w:rFonts w:asciiTheme="majorHAnsi" w:hAnsiTheme="majorHAnsi" w:cs="Arial"/>
          <w:sz w:val="24"/>
          <w:szCs w:val="24"/>
        </w:rPr>
      </w:pPr>
      <w:r w:rsidRPr="009539DA">
        <w:rPr>
          <w:rFonts w:asciiTheme="majorHAnsi" w:hAnsiTheme="majorHAnsi" w:cs="Arial"/>
          <w:sz w:val="24"/>
          <w:szCs w:val="24"/>
        </w:rPr>
        <w:t>SDU u 2016. godini bi iznosila oko 2,3% BDP. Najavljena je izgradnja više projekata iz oblasti elektroenergetike, turizma uz izgradnju rezidencijalnih i rekreativnih</w:t>
      </w:r>
      <w:r w:rsidR="00927DCD">
        <w:rPr>
          <w:rFonts w:asciiTheme="majorHAnsi" w:hAnsiTheme="majorHAnsi" w:cs="Arial"/>
          <w:sz w:val="24"/>
          <w:szCs w:val="24"/>
        </w:rPr>
        <w:t xml:space="preserve"> objekata. </w:t>
      </w:r>
    </w:p>
    <w:p w:rsidR="00927DCD" w:rsidRDefault="00927DCD" w:rsidP="009539DA">
      <w:pPr>
        <w:autoSpaceDE w:val="0"/>
        <w:autoSpaceDN w:val="0"/>
        <w:adjustRightInd w:val="0"/>
        <w:spacing w:after="0"/>
        <w:jc w:val="both"/>
        <w:rPr>
          <w:rFonts w:asciiTheme="majorHAnsi" w:hAnsiTheme="majorHAnsi" w:cs="Arial"/>
          <w:sz w:val="24"/>
          <w:szCs w:val="24"/>
        </w:rPr>
      </w:pPr>
    </w:p>
    <w:p w:rsidR="00927DCD" w:rsidRDefault="00927DCD" w:rsidP="009539DA">
      <w:pPr>
        <w:autoSpaceDE w:val="0"/>
        <w:autoSpaceDN w:val="0"/>
        <w:adjustRightInd w:val="0"/>
        <w:spacing w:after="0"/>
        <w:jc w:val="both"/>
        <w:rPr>
          <w:rFonts w:asciiTheme="majorHAnsi" w:hAnsiTheme="majorHAnsi" w:cs="Arial"/>
          <w:sz w:val="24"/>
          <w:szCs w:val="24"/>
        </w:rPr>
      </w:pPr>
    </w:p>
    <w:p w:rsidR="00927DCD" w:rsidRDefault="00927DCD" w:rsidP="009539DA">
      <w:pPr>
        <w:autoSpaceDE w:val="0"/>
        <w:autoSpaceDN w:val="0"/>
        <w:adjustRightInd w:val="0"/>
        <w:spacing w:after="0"/>
        <w:jc w:val="both"/>
        <w:rPr>
          <w:rFonts w:asciiTheme="majorHAnsi" w:hAnsiTheme="majorHAnsi" w:cs="Arial"/>
          <w:sz w:val="24"/>
          <w:szCs w:val="24"/>
        </w:rPr>
      </w:pPr>
    </w:p>
    <w:p w:rsidR="00927DCD" w:rsidRDefault="00927DCD" w:rsidP="009539DA">
      <w:pPr>
        <w:autoSpaceDE w:val="0"/>
        <w:autoSpaceDN w:val="0"/>
        <w:adjustRightInd w:val="0"/>
        <w:spacing w:after="0"/>
        <w:jc w:val="both"/>
        <w:rPr>
          <w:rFonts w:asciiTheme="majorHAnsi" w:hAnsiTheme="majorHAnsi" w:cs="Arial"/>
          <w:sz w:val="24"/>
          <w:szCs w:val="24"/>
        </w:rPr>
      </w:pPr>
    </w:p>
    <w:p w:rsidR="00927DCD" w:rsidRDefault="00927DCD" w:rsidP="009539DA">
      <w:pPr>
        <w:autoSpaceDE w:val="0"/>
        <w:autoSpaceDN w:val="0"/>
        <w:adjustRightInd w:val="0"/>
        <w:spacing w:after="0"/>
        <w:jc w:val="both"/>
        <w:rPr>
          <w:rFonts w:asciiTheme="majorHAnsi" w:hAnsiTheme="majorHAnsi" w:cs="Arial"/>
          <w:sz w:val="24"/>
          <w:szCs w:val="24"/>
        </w:rPr>
      </w:pPr>
    </w:p>
    <w:p w:rsidR="00073FDC" w:rsidRDefault="00073FDC" w:rsidP="009539DA">
      <w:pPr>
        <w:autoSpaceDE w:val="0"/>
        <w:autoSpaceDN w:val="0"/>
        <w:adjustRightInd w:val="0"/>
        <w:spacing w:after="0"/>
        <w:jc w:val="both"/>
        <w:rPr>
          <w:rFonts w:asciiTheme="majorHAnsi" w:hAnsiTheme="majorHAnsi" w:cs="Arial"/>
          <w:sz w:val="24"/>
          <w:szCs w:val="24"/>
        </w:rPr>
      </w:pPr>
    </w:p>
    <w:p w:rsidR="00927DCD" w:rsidRDefault="00927DCD" w:rsidP="009539DA">
      <w:pPr>
        <w:autoSpaceDE w:val="0"/>
        <w:autoSpaceDN w:val="0"/>
        <w:adjustRightInd w:val="0"/>
        <w:spacing w:after="0"/>
        <w:jc w:val="both"/>
        <w:rPr>
          <w:rFonts w:asciiTheme="majorHAnsi" w:hAnsiTheme="majorHAnsi" w:cs="Arial"/>
          <w:sz w:val="24"/>
          <w:szCs w:val="24"/>
        </w:rPr>
      </w:pPr>
    </w:p>
    <w:p w:rsidR="00927DCD" w:rsidRPr="009539DA" w:rsidRDefault="00927DCD" w:rsidP="009539DA">
      <w:pPr>
        <w:autoSpaceDE w:val="0"/>
        <w:autoSpaceDN w:val="0"/>
        <w:adjustRightInd w:val="0"/>
        <w:spacing w:after="0"/>
        <w:jc w:val="both"/>
        <w:rPr>
          <w:rFonts w:asciiTheme="majorHAnsi" w:hAnsiTheme="majorHAnsi" w:cs="Arial"/>
          <w:sz w:val="24"/>
          <w:szCs w:val="24"/>
        </w:rPr>
      </w:pPr>
    </w:p>
    <w:p w:rsidR="009539DA" w:rsidRPr="009539DA" w:rsidRDefault="009539DA" w:rsidP="009539DA">
      <w:pPr>
        <w:autoSpaceDE w:val="0"/>
        <w:autoSpaceDN w:val="0"/>
        <w:adjustRightInd w:val="0"/>
        <w:spacing w:after="0"/>
        <w:jc w:val="both"/>
        <w:rPr>
          <w:rFonts w:asciiTheme="majorHAnsi" w:hAnsiTheme="majorHAnsi" w:cs="Arial"/>
          <w:sz w:val="24"/>
          <w:szCs w:val="24"/>
        </w:rPr>
      </w:pPr>
    </w:p>
    <w:p w:rsidR="00231623" w:rsidRDefault="00231623" w:rsidP="00E73E0E">
      <w:pPr>
        <w:autoSpaceDE w:val="0"/>
        <w:autoSpaceDN w:val="0"/>
        <w:adjustRightInd w:val="0"/>
        <w:spacing w:after="0" w:line="240" w:lineRule="auto"/>
        <w:jc w:val="both"/>
        <w:rPr>
          <w:rFonts w:asciiTheme="majorHAnsi" w:hAnsiTheme="majorHAnsi" w:cs="Arial"/>
          <w:sz w:val="24"/>
          <w:szCs w:val="24"/>
        </w:rPr>
      </w:pPr>
    </w:p>
    <w:p w:rsidR="00231623" w:rsidRDefault="00231623" w:rsidP="00E73E0E">
      <w:pPr>
        <w:autoSpaceDE w:val="0"/>
        <w:autoSpaceDN w:val="0"/>
        <w:adjustRightInd w:val="0"/>
        <w:spacing w:after="0" w:line="240" w:lineRule="auto"/>
        <w:jc w:val="both"/>
        <w:rPr>
          <w:rFonts w:asciiTheme="majorHAnsi" w:hAnsiTheme="majorHAnsi" w:cs="Arial"/>
          <w:sz w:val="24"/>
          <w:szCs w:val="24"/>
        </w:rPr>
      </w:pPr>
    </w:p>
    <w:p w:rsidR="00231623" w:rsidRDefault="00231623" w:rsidP="00E73E0E">
      <w:pPr>
        <w:autoSpaceDE w:val="0"/>
        <w:autoSpaceDN w:val="0"/>
        <w:adjustRightInd w:val="0"/>
        <w:spacing w:after="0" w:line="240" w:lineRule="auto"/>
        <w:jc w:val="both"/>
        <w:rPr>
          <w:rFonts w:asciiTheme="majorHAnsi" w:hAnsiTheme="majorHAnsi" w:cs="Arial"/>
          <w:sz w:val="24"/>
          <w:szCs w:val="24"/>
        </w:rPr>
      </w:pPr>
    </w:p>
    <w:p w:rsidR="00231623" w:rsidRDefault="00231623" w:rsidP="00E73E0E">
      <w:pPr>
        <w:autoSpaceDE w:val="0"/>
        <w:autoSpaceDN w:val="0"/>
        <w:adjustRightInd w:val="0"/>
        <w:spacing w:after="0" w:line="240" w:lineRule="auto"/>
        <w:jc w:val="both"/>
        <w:rPr>
          <w:rFonts w:asciiTheme="majorHAnsi" w:hAnsiTheme="majorHAnsi" w:cs="Arial"/>
          <w:sz w:val="24"/>
          <w:szCs w:val="24"/>
        </w:rPr>
      </w:pPr>
    </w:p>
    <w:p w:rsidR="00231623" w:rsidRDefault="00231623" w:rsidP="00E73E0E">
      <w:pPr>
        <w:autoSpaceDE w:val="0"/>
        <w:autoSpaceDN w:val="0"/>
        <w:adjustRightInd w:val="0"/>
        <w:spacing w:after="0" w:line="240" w:lineRule="auto"/>
        <w:jc w:val="both"/>
        <w:rPr>
          <w:rFonts w:asciiTheme="majorHAnsi" w:hAnsiTheme="majorHAnsi" w:cs="Arial"/>
          <w:sz w:val="24"/>
          <w:szCs w:val="24"/>
        </w:rPr>
      </w:pPr>
    </w:p>
    <w:tbl>
      <w:tblPr>
        <w:tblpPr w:leftFromText="180" w:rightFromText="180" w:vertAnchor="text" w:horzAnchor="margin" w:tblpXSpec="center" w:tblpY="27"/>
        <w:tblW w:w="5061" w:type="pct"/>
        <w:tblCellMar>
          <w:left w:w="360" w:type="dxa"/>
          <w:right w:w="360" w:type="dxa"/>
        </w:tblCellMar>
        <w:tblLook w:val="04A0" w:firstRow="1" w:lastRow="0" w:firstColumn="1" w:lastColumn="0" w:noHBand="0" w:noVBand="1"/>
      </w:tblPr>
      <w:tblGrid>
        <w:gridCol w:w="993"/>
        <w:gridCol w:w="8481"/>
      </w:tblGrid>
      <w:tr w:rsidR="00231623" w:rsidRPr="00184EAF" w:rsidTr="00AF18E7">
        <w:trPr>
          <w:trHeight w:val="633"/>
        </w:trPr>
        <w:tc>
          <w:tcPr>
            <w:tcW w:w="524" w:type="pct"/>
            <w:shd w:val="clear" w:color="auto" w:fill="4F6228" w:themeFill="accent3" w:themeFillShade="80"/>
            <w:vAlign w:val="center"/>
          </w:tcPr>
          <w:p w:rsidR="00231623" w:rsidRPr="00184EAF" w:rsidRDefault="00231623" w:rsidP="00AF18E7">
            <w:pPr>
              <w:pStyle w:val="NoSpacing"/>
              <w:jc w:val="center"/>
              <w:rPr>
                <w:rFonts w:asciiTheme="majorHAnsi" w:hAnsiTheme="majorHAnsi"/>
                <w:b/>
                <w:smallCaps/>
                <w:color w:val="FFFFFF" w:themeColor="background1"/>
                <w:sz w:val="32"/>
                <w:szCs w:val="24"/>
              </w:rPr>
            </w:pPr>
            <w:r>
              <w:rPr>
                <w:rFonts w:asciiTheme="majorHAnsi" w:hAnsiTheme="majorHAnsi"/>
                <w:b/>
                <w:smallCaps/>
                <w:color w:val="FFFFFF" w:themeColor="background1"/>
                <w:sz w:val="32"/>
                <w:szCs w:val="24"/>
              </w:rPr>
              <w:lastRenderedPageBreak/>
              <w:t>3</w:t>
            </w:r>
            <w:r w:rsidRPr="00184EAF">
              <w:rPr>
                <w:rFonts w:asciiTheme="majorHAnsi" w:hAnsiTheme="majorHAnsi"/>
                <w:b/>
                <w:smallCaps/>
                <w:color w:val="FFFFFF" w:themeColor="background1"/>
                <w:sz w:val="32"/>
                <w:szCs w:val="24"/>
              </w:rPr>
              <w:t>.</w:t>
            </w:r>
          </w:p>
        </w:tc>
        <w:tc>
          <w:tcPr>
            <w:tcW w:w="4476" w:type="pct"/>
            <w:shd w:val="clear" w:color="auto" w:fill="C2D69B" w:themeFill="accent3" w:themeFillTint="99"/>
            <w:vAlign w:val="center"/>
          </w:tcPr>
          <w:p w:rsidR="00231623" w:rsidRPr="00184EAF" w:rsidRDefault="00231623" w:rsidP="00AF18E7">
            <w:pPr>
              <w:pStyle w:val="NoSpacing"/>
              <w:rPr>
                <w:rFonts w:asciiTheme="majorHAnsi" w:hAnsiTheme="majorHAnsi"/>
                <w:b/>
                <w:smallCaps/>
                <w:color w:val="FFFFFF" w:themeColor="background1"/>
                <w:sz w:val="32"/>
                <w:szCs w:val="32"/>
                <w:lang w:val="de-DE"/>
              </w:rPr>
            </w:pPr>
            <w:r w:rsidRPr="00184EAF">
              <w:rPr>
                <w:rFonts w:asciiTheme="majorHAnsi" w:hAnsiTheme="majorHAnsi"/>
                <w:b/>
                <w:smallCaps/>
                <w:sz w:val="32"/>
                <w:szCs w:val="32"/>
                <w:lang w:val="de-DE"/>
              </w:rPr>
              <w:t>STRUKTURA P</w:t>
            </w:r>
            <w:r>
              <w:rPr>
                <w:rFonts w:asciiTheme="majorHAnsi" w:hAnsiTheme="majorHAnsi"/>
                <w:b/>
                <w:smallCaps/>
                <w:sz w:val="32"/>
                <w:szCs w:val="32"/>
                <w:lang w:val="de-DE"/>
              </w:rPr>
              <w:t>RIJEDLOGA</w:t>
            </w:r>
            <w:r w:rsidRPr="00184EAF">
              <w:rPr>
                <w:rFonts w:asciiTheme="majorHAnsi" w:hAnsiTheme="majorHAnsi"/>
                <w:b/>
                <w:smallCaps/>
                <w:sz w:val="32"/>
                <w:szCs w:val="32"/>
                <w:lang w:val="de-DE"/>
              </w:rPr>
              <w:t xml:space="preserve"> ODLUKE O IZMJENAMA I DOPUNAMA </w:t>
            </w:r>
            <w:r>
              <w:rPr>
                <w:rFonts w:asciiTheme="majorHAnsi" w:hAnsiTheme="majorHAnsi"/>
                <w:b/>
                <w:smallCaps/>
                <w:sz w:val="32"/>
                <w:szCs w:val="32"/>
                <w:lang w:val="de-DE"/>
              </w:rPr>
              <w:t>B</w:t>
            </w:r>
            <w:r w:rsidRPr="00184EAF">
              <w:rPr>
                <w:rFonts w:asciiTheme="majorHAnsi" w:hAnsiTheme="majorHAnsi"/>
                <w:b/>
                <w:smallCaps/>
                <w:sz w:val="32"/>
                <w:szCs w:val="32"/>
                <w:lang w:val="de-DE"/>
              </w:rPr>
              <w:t>UDŽETA FEDERACIJE BIH ZA 201</w:t>
            </w:r>
            <w:r>
              <w:rPr>
                <w:rFonts w:asciiTheme="majorHAnsi" w:hAnsiTheme="majorHAnsi"/>
                <w:b/>
                <w:smallCaps/>
                <w:sz w:val="32"/>
                <w:szCs w:val="32"/>
                <w:lang w:val="de-DE"/>
              </w:rPr>
              <w:t>6</w:t>
            </w:r>
            <w:r w:rsidRPr="00184EAF">
              <w:rPr>
                <w:rFonts w:asciiTheme="majorHAnsi" w:hAnsiTheme="majorHAnsi"/>
                <w:b/>
                <w:smallCaps/>
                <w:sz w:val="32"/>
                <w:szCs w:val="32"/>
                <w:lang w:val="de-DE"/>
              </w:rPr>
              <w:t>.</w:t>
            </w:r>
            <w:r>
              <w:rPr>
                <w:rFonts w:asciiTheme="majorHAnsi" w:hAnsiTheme="majorHAnsi"/>
                <w:b/>
                <w:smallCaps/>
                <w:sz w:val="32"/>
                <w:szCs w:val="32"/>
                <w:lang w:val="de-DE"/>
              </w:rPr>
              <w:t xml:space="preserve"> </w:t>
            </w:r>
            <w:r w:rsidRPr="00184EAF">
              <w:rPr>
                <w:rFonts w:asciiTheme="majorHAnsi" w:hAnsiTheme="majorHAnsi"/>
                <w:b/>
                <w:smallCaps/>
                <w:sz w:val="32"/>
                <w:szCs w:val="32"/>
                <w:lang w:val="de-DE"/>
              </w:rPr>
              <w:t>GODINU</w:t>
            </w:r>
          </w:p>
        </w:tc>
      </w:tr>
    </w:tbl>
    <w:p w:rsidR="0055696A" w:rsidRDefault="0055696A" w:rsidP="00E73E0E">
      <w:pPr>
        <w:autoSpaceDE w:val="0"/>
        <w:autoSpaceDN w:val="0"/>
        <w:adjustRightInd w:val="0"/>
        <w:spacing w:after="0" w:line="240" w:lineRule="auto"/>
        <w:jc w:val="both"/>
        <w:rPr>
          <w:rFonts w:asciiTheme="majorHAnsi" w:hAnsiTheme="majorHAnsi" w:cs="Arial"/>
          <w:sz w:val="24"/>
          <w:szCs w:val="24"/>
        </w:rPr>
      </w:pPr>
    </w:p>
    <w:p w:rsidR="00073FDC" w:rsidRDefault="00073FDC" w:rsidP="00E73E0E">
      <w:pPr>
        <w:autoSpaceDE w:val="0"/>
        <w:autoSpaceDN w:val="0"/>
        <w:adjustRightInd w:val="0"/>
        <w:spacing w:after="0" w:line="240" w:lineRule="auto"/>
        <w:jc w:val="both"/>
        <w:rPr>
          <w:rFonts w:asciiTheme="majorHAnsi" w:hAnsiTheme="majorHAnsi" w:cs="Arial"/>
          <w:sz w:val="24"/>
          <w:szCs w:val="24"/>
        </w:rPr>
      </w:pPr>
    </w:p>
    <w:p w:rsidR="00073FDC" w:rsidRDefault="00073FDC" w:rsidP="00E73E0E">
      <w:pPr>
        <w:autoSpaceDE w:val="0"/>
        <w:autoSpaceDN w:val="0"/>
        <w:adjustRightInd w:val="0"/>
        <w:spacing w:after="0" w:line="240" w:lineRule="auto"/>
        <w:jc w:val="both"/>
        <w:rPr>
          <w:rFonts w:asciiTheme="majorHAnsi" w:hAnsiTheme="majorHAnsi" w:cs="Arial"/>
          <w:sz w:val="24"/>
          <w:szCs w:val="24"/>
        </w:rPr>
      </w:pPr>
    </w:p>
    <w:p w:rsidR="00073FDC" w:rsidRDefault="00073FDC" w:rsidP="00E73E0E">
      <w:pPr>
        <w:autoSpaceDE w:val="0"/>
        <w:autoSpaceDN w:val="0"/>
        <w:adjustRightInd w:val="0"/>
        <w:spacing w:after="0" w:line="240" w:lineRule="auto"/>
        <w:jc w:val="both"/>
        <w:rPr>
          <w:rFonts w:asciiTheme="majorHAnsi" w:hAnsiTheme="majorHAnsi" w:cs="Arial"/>
          <w:sz w:val="24"/>
          <w:szCs w:val="24"/>
        </w:rPr>
      </w:pPr>
    </w:p>
    <w:p w:rsidR="00E73E0E" w:rsidRPr="00ED2F98" w:rsidRDefault="003E7961" w:rsidP="00E73E0E">
      <w:pPr>
        <w:autoSpaceDE w:val="0"/>
        <w:autoSpaceDN w:val="0"/>
        <w:adjustRightInd w:val="0"/>
        <w:spacing w:after="0" w:line="240" w:lineRule="auto"/>
        <w:jc w:val="both"/>
        <w:rPr>
          <w:rFonts w:asciiTheme="majorHAnsi" w:hAnsiTheme="majorHAnsi" w:cs="Arial"/>
          <w:sz w:val="24"/>
          <w:szCs w:val="24"/>
          <w:lang w:val="en-US"/>
        </w:rPr>
      </w:pPr>
      <w:r w:rsidRPr="00ED2F98">
        <w:rPr>
          <w:rFonts w:asciiTheme="majorHAnsi" w:hAnsiTheme="majorHAnsi" w:cs="Arial"/>
          <w:sz w:val="24"/>
          <w:szCs w:val="24"/>
        </w:rPr>
        <w:t>Prijedlog</w:t>
      </w:r>
      <w:r w:rsidR="00184EAF" w:rsidRPr="00ED2F98">
        <w:rPr>
          <w:rFonts w:asciiTheme="majorHAnsi" w:hAnsiTheme="majorHAnsi" w:cs="Arial"/>
          <w:sz w:val="24"/>
          <w:szCs w:val="24"/>
        </w:rPr>
        <w:t xml:space="preserve"> </w:t>
      </w:r>
      <w:r w:rsidRPr="00ED2F98">
        <w:rPr>
          <w:rFonts w:asciiTheme="majorHAnsi" w:hAnsiTheme="majorHAnsi" w:cs="Arial"/>
          <w:sz w:val="24"/>
          <w:szCs w:val="24"/>
        </w:rPr>
        <w:t>odluke o izmjenama i dopunama</w:t>
      </w:r>
      <w:r w:rsidR="00184EAF" w:rsidRPr="00ED2F98">
        <w:rPr>
          <w:rFonts w:asciiTheme="majorHAnsi" w:hAnsiTheme="majorHAnsi" w:cs="Arial"/>
          <w:sz w:val="24"/>
          <w:szCs w:val="24"/>
        </w:rPr>
        <w:t xml:space="preserve"> </w:t>
      </w:r>
      <w:r w:rsidRPr="00ED2F98">
        <w:rPr>
          <w:rFonts w:asciiTheme="majorHAnsi" w:hAnsiTheme="majorHAnsi" w:cs="Arial"/>
          <w:sz w:val="24"/>
          <w:szCs w:val="24"/>
        </w:rPr>
        <w:t>Budžeta Federacije Bosne i Hercegovine za 201</w:t>
      </w:r>
      <w:r w:rsidR="00184EAF" w:rsidRPr="00ED2F98">
        <w:rPr>
          <w:rFonts w:asciiTheme="majorHAnsi" w:hAnsiTheme="majorHAnsi" w:cs="Arial"/>
          <w:sz w:val="24"/>
          <w:szCs w:val="24"/>
        </w:rPr>
        <w:t>6</w:t>
      </w:r>
      <w:r w:rsidRPr="00ED2F98">
        <w:rPr>
          <w:rFonts w:asciiTheme="majorHAnsi" w:hAnsiTheme="majorHAnsi" w:cs="Arial"/>
          <w:sz w:val="24"/>
          <w:szCs w:val="24"/>
        </w:rPr>
        <w:t>. godinu</w:t>
      </w:r>
      <w:r w:rsidR="00E73E0E" w:rsidRPr="00ED2F98">
        <w:rPr>
          <w:rFonts w:asciiTheme="majorHAnsi" w:hAnsiTheme="majorHAnsi" w:cs="Arial"/>
          <w:sz w:val="24"/>
          <w:szCs w:val="24"/>
        </w:rPr>
        <w:t xml:space="preserve"> iznosi 2.</w:t>
      </w:r>
      <w:r w:rsidR="008D238E">
        <w:rPr>
          <w:rFonts w:asciiTheme="majorHAnsi" w:hAnsiTheme="majorHAnsi" w:cs="Arial"/>
          <w:sz w:val="24"/>
          <w:szCs w:val="24"/>
        </w:rPr>
        <w:t>517</w:t>
      </w:r>
      <w:r w:rsidR="00520AF1">
        <w:rPr>
          <w:rFonts w:asciiTheme="majorHAnsi" w:hAnsiTheme="majorHAnsi" w:cs="Arial"/>
          <w:sz w:val="24"/>
          <w:szCs w:val="24"/>
        </w:rPr>
        <w:t>.180.917</w:t>
      </w:r>
      <w:r w:rsidR="00083D92" w:rsidRPr="00ED2F98">
        <w:rPr>
          <w:rFonts w:asciiTheme="majorHAnsi" w:hAnsiTheme="majorHAnsi" w:cs="Arial"/>
          <w:sz w:val="24"/>
          <w:szCs w:val="24"/>
        </w:rPr>
        <w:t xml:space="preserve">,00 KM, što je za </w:t>
      </w:r>
      <w:r w:rsidR="00520AF1">
        <w:rPr>
          <w:rFonts w:asciiTheme="majorHAnsi" w:hAnsiTheme="majorHAnsi" w:cs="Arial"/>
          <w:sz w:val="24"/>
          <w:szCs w:val="24"/>
        </w:rPr>
        <w:t>85,7</w:t>
      </w:r>
      <w:r w:rsidR="00083D92" w:rsidRPr="00ED2F98">
        <w:rPr>
          <w:rFonts w:asciiTheme="majorHAnsi" w:hAnsiTheme="majorHAnsi" w:cs="Arial"/>
          <w:sz w:val="24"/>
          <w:szCs w:val="24"/>
        </w:rPr>
        <w:t xml:space="preserve"> mil. KM ili </w:t>
      </w:r>
      <w:r w:rsidR="00ED2F98" w:rsidRPr="00ED2F98">
        <w:rPr>
          <w:rFonts w:asciiTheme="majorHAnsi" w:hAnsiTheme="majorHAnsi" w:cs="Arial"/>
          <w:sz w:val="24"/>
          <w:szCs w:val="24"/>
        </w:rPr>
        <w:t>3</w:t>
      </w:r>
      <w:r w:rsidR="00E73E0E" w:rsidRPr="00ED2F98">
        <w:rPr>
          <w:rFonts w:asciiTheme="majorHAnsi" w:hAnsiTheme="majorHAnsi" w:cs="Arial"/>
          <w:sz w:val="24"/>
          <w:szCs w:val="24"/>
        </w:rPr>
        <w:t xml:space="preserve">% </w:t>
      </w:r>
      <w:r w:rsidR="00ED2F98" w:rsidRPr="00ED2F98">
        <w:rPr>
          <w:rFonts w:asciiTheme="majorHAnsi" w:hAnsiTheme="majorHAnsi" w:cs="Arial"/>
          <w:sz w:val="24"/>
          <w:szCs w:val="24"/>
        </w:rPr>
        <w:t>manje</w:t>
      </w:r>
      <w:r w:rsidR="00E73E0E" w:rsidRPr="00ED2F98">
        <w:rPr>
          <w:rFonts w:asciiTheme="majorHAnsi" w:hAnsiTheme="majorHAnsi" w:cs="Arial"/>
          <w:sz w:val="24"/>
          <w:szCs w:val="24"/>
        </w:rPr>
        <w:t xml:space="preserve"> u odnosu na Budžet Federacije Bosne i Hercegovine za 201</w:t>
      </w:r>
      <w:r w:rsidR="00ED2F98" w:rsidRPr="00ED2F98">
        <w:rPr>
          <w:rFonts w:asciiTheme="majorHAnsi" w:hAnsiTheme="majorHAnsi" w:cs="Arial"/>
          <w:sz w:val="24"/>
          <w:szCs w:val="24"/>
        </w:rPr>
        <w:t>6</w:t>
      </w:r>
      <w:r w:rsidR="00E73E0E" w:rsidRPr="00ED2F98">
        <w:rPr>
          <w:rFonts w:asciiTheme="majorHAnsi" w:hAnsiTheme="majorHAnsi" w:cs="Arial"/>
          <w:sz w:val="24"/>
          <w:szCs w:val="24"/>
        </w:rPr>
        <w:t>. godinu.</w:t>
      </w:r>
    </w:p>
    <w:p w:rsidR="00E73E0E" w:rsidRPr="005504E5" w:rsidRDefault="00E73E0E" w:rsidP="00E73E0E">
      <w:pPr>
        <w:tabs>
          <w:tab w:val="left" w:pos="2805"/>
        </w:tabs>
        <w:spacing w:before="240" w:after="240" w:line="240" w:lineRule="auto"/>
        <w:jc w:val="both"/>
        <w:rPr>
          <w:rFonts w:asciiTheme="majorHAnsi" w:hAnsiTheme="majorHAnsi" w:cs="Arial"/>
          <w:sz w:val="24"/>
          <w:szCs w:val="24"/>
          <w:lang w:val="en-US"/>
        </w:rPr>
      </w:pPr>
      <w:r w:rsidRPr="005504E5">
        <w:rPr>
          <w:rFonts w:asciiTheme="majorHAnsi" w:hAnsiTheme="majorHAnsi" w:cs="Arial"/>
          <w:sz w:val="24"/>
          <w:szCs w:val="24"/>
          <w:lang w:val="en-US"/>
        </w:rPr>
        <w:t>Uzimajući u obzir podatke o izvršenju Budžeta Federacije Bosne i Hercegovine za period januar – juni 201</w:t>
      </w:r>
      <w:r w:rsidR="00ED2F98" w:rsidRPr="005504E5">
        <w:rPr>
          <w:rFonts w:asciiTheme="majorHAnsi" w:hAnsiTheme="majorHAnsi" w:cs="Arial"/>
          <w:sz w:val="24"/>
          <w:szCs w:val="24"/>
          <w:lang w:val="en-US"/>
        </w:rPr>
        <w:t>6</w:t>
      </w:r>
      <w:r w:rsidRPr="005504E5">
        <w:rPr>
          <w:rFonts w:asciiTheme="majorHAnsi" w:hAnsiTheme="majorHAnsi" w:cs="Arial"/>
          <w:sz w:val="24"/>
          <w:szCs w:val="24"/>
          <w:lang w:val="en-US"/>
        </w:rPr>
        <w:t>. godine, te na temelju projekcija Federalnog ministarstva finansija, prihodi od poreza na dobit</w:t>
      </w:r>
      <w:r w:rsidR="000C0D54" w:rsidRPr="005504E5">
        <w:rPr>
          <w:rFonts w:asciiTheme="majorHAnsi" w:hAnsiTheme="majorHAnsi" w:cs="Arial"/>
          <w:sz w:val="24"/>
          <w:szCs w:val="24"/>
          <w:lang w:val="en-US"/>
        </w:rPr>
        <w:t xml:space="preserve"> pojedinca i preduzeća</w:t>
      </w:r>
      <w:r w:rsidRPr="005504E5">
        <w:rPr>
          <w:rFonts w:asciiTheme="majorHAnsi" w:hAnsiTheme="majorHAnsi" w:cs="Arial"/>
          <w:sz w:val="24"/>
          <w:szCs w:val="24"/>
          <w:lang w:val="en-US"/>
        </w:rPr>
        <w:t xml:space="preserve">  su </w:t>
      </w:r>
      <w:r w:rsidR="000C0D54" w:rsidRPr="005504E5">
        <w:rPr>
          <w:rFonts w:asciiTheme="majorHAnsi" w:hAnsiTheme="majorHAnsi" w:cs="Arial"/>
          <w:sz w:val="24"/>
          <w:szCs w:val="24"/>
          <w:lang w:val="en-US"/>
        </w:rPr>
        <w:t>povećani</w:t>
      </w:r>
      <w:r w:rsidRPr="005504E5">
        <w:rPr>
          <w:rFonts w:asciiTheme="majorHAnsi" w:hAnsiTheme="majorHAnsi" w:cs="Arial"/>
          <w:sz w:val="24"/>
          <w:szCs w:val="24"/>
          <w:lang w:val="en-US"/>
        </w:rPr>
        <w:t xml:space="preserve"> za oko </w:t>
      </w:r>
      <w:r w:rsidR="000C0D54" w:rsidRPr="005504E5">
        <w:rPr>
          <w:rFonts w:asciiTheme="majorHAnsi" w:hAnsiTheme="majorHAnsi" w:cs="Arial"/>
          <w:sz w:val="24"/>
          <w:szCs w:val="24"/>
          <w:lang w:val="en-US"/>
        </w:rPr>
        <w:t>10</w:t>
      </w:r>
      <w:r w:rsidRPr="005504E5">
        <w:rPr>
          <w:rFonts w:asciiTheme="majorHAnsi" w:hAnsiTheme="majorHAnsi" w:cs="Arial"/>
          <w:sz w:val="24"/>
          <w:szCs w:val="24"/>
          <w:lang w:val="en-US"/>
        </w:rPr>
        <w:t>,</w:t>
      </w:r>
      <w:r w:rsidR="000C0D54" w:rsidRPr="005504E5">
        <w:rPr>
          <w:rFonts w:asciiTheme="majorHAnsi" w:hAnsiTheme="majorHAnsi" w:cs="Arial"/>
          <w:sz w:val="24"/>
          <w:szCs w:val="24"/>
          <w:lang w:val="en-US"/>
        </w:rPr>
        <w:t>4</w:t>
      </w:r>
      <w:r w:rsidRPr="005504E5">
        <w:rPr>
          <w:rFonts w:asciiTheme="majorHAnsi" w:hAnsiTheme="majorHAnsi" w:cs="Arial"/>
          <w:sz w:val="24"/>
          <w:szCs w:val="24"/>
          <w:lang w:val="en-US"/>
        </w:rPr>
        <w:t xml:space="preserve"> mil. KM. </w:t>
      </w:r>
      <w:r w:rsidR="00520AF1">
        <w:rPr>
          <w:rFonts w:asciiTheme="majorHAnsi" w:hAnsiTheme="majorHAnsi" w:cs="Arial"/>
          <w:sz w:val="24"/>
          <w:szCs w:val="24"/>
          <w:lang w:val="en-US"/>
        </w:rPr>
        <w:t xml:space="preserve">Zatim, </w:t>
      </w:r>
      <w:r w:rsidR="00520AF1" w:rsidRPr="005504E5">
        <w:rPr>
          <w:rFonts w:asciiTheme="majorHAnsi" w:hAnsiTheme="majorHAnsi" w:cs="Arial"/>
          <w:sz w:val="24"/>
          <w:szCs w:val="24"/>
          <w:lang w:val="en-US"/>
        </w:rPr>
        <w:t xml:space="preserve">povrat anuiteta od krajnjih korisnika za otplatu duga za oko </w:t>
      </w:r>
      <w:r w:rsidR="00520AF1">
        <w:rPr>
          <w:rFonts w:asciiTheme="majorHAnsi" w:hAnsiTheme="majorHAnsi" w:cs="Arial"/>
          <w:sz w:val="24"/>
          <w:szCs w:val="24"/>
          <w:lang w:val="en-US"/>
        </w:rPr>
        <w:t>3</w:t>
      </w:r>
      <w:r w:rsidR="008D238E">
        <w:rPr>
          <w:rFonts w:asciiTheme="majorHAnsi" w:hAnsiTheme="majorHAnsi" w:cs="Arial"/>
          <w:sz w:val="24"/>
          <w:szCs w:val="24"/>
          <w:lang w:val="en-US"/>
        </w:rPr>
        <w:t>5</w:t>
      </w:r>
      <w:r w:rsidR="00520AF1">
        <w:rPr>
          <w:rFonts w:asciiTheme="majorHAnsi" w:hAnsiTheme="majorHAnsi" w:cs="Arial"/>
          <w:sz w:val="24"/>
          <w:szCs w:val="24"/>
          <w:lang w:val="en-US"/>
        </w:rPr>
        <w:t xml:space="preserve">,4 mil. KM. </w:t>
      </w:r>
      <w:r w:rsidRPr="005504E5">
        <w:rPr>
          <w:rFonts w:asciiTheme="majorHAnsi" w:hAnsiTheme="majorHAnsi" w:cs="Arial"/>
          <w:sz w:val="24"/>
          <w:szCs w:val="24"/>
          <w:lang w:val="en-US"/>
        </w:rPr>
        <w:t>Takođe</w:t>
      </w:r>
      <w:r w:rsidR="000C0D54" w:rsidRPr="005504E5">
        <w:rPr>
          <w:rFonts w:asciiTheme="majorHAnsi" w:hAnsiTheme="majorHAnsi" w:cs="Arial"/>
          <w:sz w:val="24"/>
          <w:szCs w:val="24"/>
          <w:lang w:val="en-US"/>
        </w:rPr>
        <w:t>r,</w:t>
      </w:r>
      <w:r w:rsidRPr="005504E5">
        <w:rPr>
          <w:rFonts w:asciiTheme="majorHAnsi" w:hAnsiTheme="majorHAnsi" w:cs="Arial"/>
          <w:sz w:val="24"/>
          <w:szCs w:val="24"/>
          <w:lang w:val="en-US"/>
        </w:rPr>
        <w:t xml:space="preserve"> na pojedinim pozicijama prihoda planirana su i </w:t>
      </w:r>
      <w:r w:rsidR="000C0D54" w:rsidRPr="005504E5">
        <w:rPr>
          <w:rFonts w:asciiTheme="majorHAnsi" w:hAnsiTheme="majorHAnsi" w:cs="Arial"/>
          <w:sz w:val="24"/>
          <w:szCs w:val="24"/>
          <w:lang w:val="en-US"/>
        </w:rPr>
        <w:t>smanjenja</w:t>
      </w:r>
      <w:r w:rsidRPr="005504E5">
        <w:rPr>
          <w:rFonts w:asciiTheme="majorHAnsi" w:hAnsiTheme="majorHAnsi" w:cs="Arial"/>
          <w:sz w:val="24"/>
          <w:szCs w:val="24"/>
          <w:lang w:val="en-US"/>
        </w:rPr>
        <w:t xml:space="preserve">, prije svega na ekonomskim kodovima </w:t>
      </w:r>
      <w:r w:rsidR="00520AF1">
        <w:rPr>
          <w:rFonts w:asciiTheme="majorHAnsi" w:hAnsiTheme="majorHAnsi" w:cs="Arial"/>
          <w:sz w:val="24"/>
          <w:szCs w:val="24"/>
          <w:lang w:val="en-US"/>
        </w:rPr>
        <w:t>Naknade i takse i priodi od pružanja javnih usluga</w:t>
      </w:r>
      <w:r w:rsidR="005504E5" w:rsidRPr="005504E5">
        <w:rPr>
          <w:rFonts w:asciiTheme="majorHAnsi" w:hAnsiTheme="majorHAnsi" w:cs="Arial"/>
          <w:sz w:val="24"/>
          <w:szCs w:val="24"/>
          <w:lang w:val="en-US"/>
        </w:rPr>
        <w:t xml:space="preserve"> smanjeni za </w:t>
      </w:r>
      <w:r w:rsidR="00520AF1">
        <w:rPr>
          <w:rFonts w:asciiTheme="majorHAnsi" w:hAnsiTheme="majorHAnsi" w:cs="Arial"/>
          <w:sz w:val="24"/>
          <w:szCs w:val="24"/>
          <w:lang w:val="en-US"/>
        </w:rPr>
        <w:t xml:space="preserve">7,6 mil. KM. Uzimajući u obzir navedeno neporezni prihodi u </w:t>
      </w:r>
      <w:r w:rsidR="008D238E">
        <w:rPr>
          <w:rFonts w:asciiTheme="majorHAnsi" w:hAnsiTheme="majorHAnsi" w:cs="Arial"/>
          <w:sz w:val="24"/>
          <w:szCs w:val="24"/>
          <w:lang w:val="en-US"/>
        </w:rPr>
        <w:t>ukupnom iznosu su povećani za 27</w:t>
      </w:r>
      <w:r w:rsidR="00520AF1">
        <w:rPr>
          <w:rFonts w:asciiTheme="majorHAnsi" w:hAnsiTheme="majorHAnsi" w:cs="Arial"/>
          <w:sz w:val="24"/>
          <w:szCs w:val="24"/>
          <w:lang w:val="en-US"/>
        </w:rPr>
        <w:t>,2 mil. KM.</w:t>
      </w:r>
    </w:p>
    <w:p w:rsidR="00E73E0E" w:rsidRPr="000C0D54" w:rsidRDefault="00E73E0E" w:rsidP="00E73E0E">
      <w:pPr>
        <w:tabs>
          <w:tab w:val="left" w:pos="2805"/>
        </w:tabs>
        <w:spacing w:before="240" w:after="240" w:line="240" w:lineRule="auto"/>
        <w:jc w:val="both"/>
        <w:rPr>
          <w:rFonts w:asciiTheme="majorHAnsi" w:hAnsiTheme="majorHAnsi" w:cs="Arial"/>
          <w:sz w:val="24"/>
          <w:szCs w:val="24"/>
          <w:lang w:val="en-US"/>
        </w:rPr>
      </w:pPr>
      <w:r w:rsidRPr="000C0D54">
        <w:rPr>
          <w:rFonts w:asciiTheme="majorHAnsi" w:hAnsiTheme="majorHAnsi" w:cs="Arial"/>
          <w:sz w:val="24"/>
          <w:szCs w:val="24"/>
          <w:lang w:val="en-US"/>
        </w:rPr>
        <w:t>U dijelu primitaka izvršeno je smanjenje planiranih sredstava po osnovu</w:t>
      </w:r>
      <w:r w:rsidR="000C0D54" w:rsidRPr="000C0D54">
        <w:rPr>
          <w:rFonts w:asciiTheme="majorHAnsi" w:hAnsiTheme="majorHAnsi" w:cs="Arial"/>
          <w:sz w:val="24"/>
          <w:szCs w:val="24"/>
          <w:lang w:val="en-US"/>
        </w:rPr>
        <w:t xml:space="preserve"> zajmova primljenih kroz Državu u iznosu od 209,5 mil. KM, dok su primici od domaćeg zaduživanja – obveznice povećani za 100,0 mil KM, a primici od domaćeg zaduži</w:t>
      </w:r>
      <w:r w:rsidR="00B236A2">
        <w:rPr>
          <w:rFonts w:asciiTheme="majorHAnsi" w:hAnsiTheme="majorHAnsi" w:cs="Arial"/>
          <w:sz w:val="24"/>
          <w:szCs w:val="24"/>
          <w:lang w:val="en-US"/>
        </w:rPr>
        <w:t>vanja – trezorski zapisi smanjeni su su za 10</w:t>
      </w:r>
      <w:r w:rsidR="000C0D54" w:rsidRPr="000C0D54">
        <w:rPr>
          <w:rFonts w:asciiTheme="majorHAnsi" w:hAnsiTheme="majorHAnsi" w:cs="Arial"/>
          <w:sz w:val="24"/>
          <w:szCs w:val="24"/>
          <w:lang w:val="en-US"/>
        </w:rPr>
        <w:t xml:space="preserve">,0 mil. KM. Suštinski, nedostajuća sredstva od </w:t>
      </w:r>
      <w:r w:rsidRPr="000C0D54">
        <w:rPr>
          <w:rFonts w:asciiTheme="majorHAnsi" w:hAnsiTheme="majorHAnsi" w:cs="Arial"/>
          <w:sz w:val="24"/>
          <w:szCs w:val="24"/>
          <w:lang w:val="en-US"/>
        </w:rPr>
        <w:t>projekta DPL</w:t>
      </w:r>
      <w:r w:rsidR="000C0D54" w:rsidRPr="000C0D54">
        <w:rPr>
          <w:rFonts w:asciiTheme="majorHAnsi" w:hAnsiTheme="majorHAnsi" w:cs="Arial"/>
          <w:sz w:val="24"/>
          <w:szCs w:val="24"/>
          <w:lang w:val="en-US"/>
        </w:rPr>
        <w:t xml:space="preserve"> – </w:t>
      </w:r>
      <w:r w:rsidRPr="000C0D54">
        <w:rPr>
          <w:rFonts w:asciiTheme="majorHAnsi" w:hAnsiTheme="majorHAnsi" w:cs="Arial"/>
          <w:sz w:val="24"/>
          <w:szCs w:val="24"/>
          <w:lang w:val="en-US"/>
        </w:rPr>
        <w:t>Svjetsk</w:t>
      </w:r>
      <w:r w:rsidR="000C0D54" w:rsidRPr="000C0D54">
        <w:rPr>
          <w:rFonts w:asciiTheme="majorHAnsi" w:hAnsiTheme="majorHAnsi" w:cs="Arial"/>
          <w:sz w:val="24"/>
          <w:szCs w:val="24"/>
          <w:lang w:val="en-US"/>
        </w:rPr>
        <w:t xml:space="preserve">e </w:t>
      </w:r>
      <w:r w:rsidRPr="000C0D54">
        <w:rPr>
          <w:rFonts w:asciiTheme="majorHAnsi" w:hAnsiTheme="majorHAnsi" w:cs="Arial"/>
          <w:sz w:val="24"/>
          <w:szCs w:val="24"/>
          <w:lang w:val="en-US"/>
        </w:rPr>
        <w:t>bank</w:t>
      </w:r>
      <w:r w:rsidR="000C0D54" w:rsidRPr="000C0D54">
        <w:rPr>
          <w:rFonts w:asciiTheme="majorHAnsi" w:hAnsiTheme="majorHAnsi" w:cs="Arial"/>
          <w:sz w:val="24"/>
          <w:szCs w:val="24"/>
          <w:lang w:val="en-US"/>
        </w:rPr>
        <w:t>e i</w:t>
      </w:r>
      <w:r w:rsidRPr="000C0D54">
        <w:rPr>
          <w:rFonts w:asciiTheme="majorHAnsi" w:hAnsiTheme="majorHAnsi" w:cs="Arial"/>
          <w:sz w:val="24"/>
          <w:szCs w:val="24"/>
          <w:lang w:val="en-US"/>
        </w:rPr>
        <w:t xml:space="preserve"> Međunarodnog monetarnog fonda zamijenjen</w:t>
      </w:r>
      <w:r w:rsidR="000C0D54" w:rsidRPr="000C0D54">
        <w:rPr>
          <w:rFonts w:asciiTheme="majorHAnsi" w:hAnsiTheme="majorHAnsi" w:cs="Arial"/>
          <w:sz w:val="24"/>
          <w:szCs w:val="24"/>
          <w:lang w:val="en-US"/>
        </w:rPr>
        <w:t xml:space="preserve">a su </w:t>
      </w:r>
      <w:r w:rsidRPr="000C0D54">
        <w:rPr>
          <w:rFonts w:asciiTheme="majorHAnsi" w:hAnsiTheme="majorHAnsi" w:cs="Arial"/>
          <w:sz w:val="24"/>
          <w:szCs w:val="24"/>
          <w:lang w:val="en-US"/>
        </w:rPr>
        <w:t>alternativnim izvorima finansiranja, odnosno primicima od domaćeg pozajmljivanja.</w:t>
      </w:r>
    </w:p>
    <w:p w:rsidR="00E73E0E" w:rsidRPr="00ED2F98" w:rsidRDefault="00E73E0E" w:rsidP="00E73E0E">
      <w:pPr>
        <w:tabs>
          <w:tab w:val="left" w:pos="2805"/>
        </w:tabs>
        <w:spacing w:before="240" w:after="240" w:line="240" w:lineRule="auto"/>
        <w:jc w:val="both"/>
        <w:rPr>
          <w:rFonts w:asciiTheme="majorHAnsi" w:hAnsiTheme="majorHAnsi" w:cs="Arial"/>
          <w:sz w:val="24"/>
          <w:szCs w:val="24"/>
        </w:rPr>
      </w:pPr>
      <w:r w:rsidRPr="00ED2F98">
        <w:rPr>
          <w:rFonts w:asciiTheme="majorHAnsi" w:hAnsiTheme="majorHAnsi" w:cs="Arial"/>
          <w:sz w:val="24"/>
          <w:szCs w:val="24"/>
        </w:rPr>
        <w:t xml:space="preserve">Rashodovna strana </w:t>
      </w:r>
      <w:r w:rsidR="003E7961" w:rsidRPr="00ED2F98">
        <w:rPr>
          <w:rFonts w:asciiTheme="majorHAnsi" w:hAnsiTheme="majorHAnsi" w:cs="Arial"/>
          <w:sz w:val="24"/>
          <w:szCs w:val="24"/>
        </w:rPr>
        <w:t>Prijedloga odluke o izmjenama i dopunama  Budžeta Federacije Bosne i Hercegovine za 201</w:t>
      </w:r>
      <w:r w:rsidR="00ED2F98" w:rsidRPr="00ED2F98">
        <w:rPr>
          <w:rFonts w:asciiTheme="majorHAnsi" w:hAnsiTheme="majorHAnsi" w:cs="Arial"/>
          <w:sz w:val="24"/>
          <w:szCs w:val="24"/>
        </w:rPr>
        <w:t>6</w:t>
      </w:r>
      <w:r w:rsidR="003E7961" w:rsidRPr="00ED2F98">
        <w:rPr>
          <w:rFonts w:asciiTheme="majorHAnsi" w:hAnsiTheme="majorHAnsi" w:cs="Arial"/>
          <w:sz w:val="24"/>
          <w:szCs w:val="24"/>
        </w:rPr>
        <w:t xml:space="preserve">. godinu </w:t>
      </w:r>
      <w:r w:rsidRPr="00ED2F98">
        <w:rPr>
          <w:rFonts w:asciiTheme="majorHAnsi" w:hAnsiTheme="majorHAnsi" w:cs="Arial"/>
          <w:sz w:val="24"/>
          <w:szCs w:val="24"/>
        </w:rPr>
        <w:t>sačinjena je na bazi zahtjeva budžetskih korisnika, uz uvažavanje zakonskih obaveza, politika i prioriteta Vlade Federacije BiH, ažuriranih makroekonomskih projekcija i procjena raspoloživih budžetskih sredstava. Struktura rashodovne strane predstavlja odraz provođenja mjera restriktivne javne potrošnje od strane Vlade Federacije BiH, što predstavlja jedan od prioriteta ekonomske politike u narednim godinama. F</w:t>
      </w:r>
      <w:r w:rsidRPr="00ED2F98">
        <w:rPr>
          <w:rFonts w:asciiTheme="majorHAnsi" w:hAnsiTheme="majorHAnsi" w:cs="Arial"/>
          <w:sz w:val="24"/>
          <w:szCs w:val="24"/>
          <w:lang w:val="en-US"/>
        </w:rPr>
        <w:t xml:space="preserve">iskalna politika Vlade Federacije BiH </w:t>
      </w:r>
      <w:r w:rsidR="00ED2F98" w:rsidRPr="00ED2F98">
        <w:rPr>
          <w:rFonts w:asciiTheme="majorHAnsi" w:hAnsiTheme="majorHAnsi" w:cs="Arial"/>
          <w:sz w:val="24"/>
          <w:szCs w:val="24"/>
          <w:lang w:val="en-US"/>
        </w:rPr>
        <w:t>je</w:t>
      </w:r>
      <w:r w:rsidRPr="00ED2F98">
        <w:rPr>
          <w:rFonts w:asciiTheme="majorHAnsi" w:hAnsiTheme="majorHAnsi" w:cs="Arial"/>
          <w:sz w:val="24"/>
          <w:szCs w:val="24"/>
          <w:lang w:val="en-US"/>
        </w:rPr>
        <w:t xml:space="preserve"> i u 201</w:t>
      </w:r>
      <w:r w:rsidR="00ED2F98" w:rsidRPr="00ED2F98">
        <w:rPr>
          <w:rFonts w:asciiTheme="majorHAnsi" w:hAnsiTheme="majorHAnsi" w:cs="Arial"/>
          <w:sz w:val="24"/>
          <w:szCs w:val="24"/>
          <w:lang w:val="en-US"/>
        </w:rPr>
        <w:t>6</w:t>
      </w:r>
      <w:r w:rsidRPr="00ED2F98">
        <w:rPr>
          <w:rFonts w:asciiTheme="majorHAnsi" w:hAnsiTheme="majorHAnsi" w:cs="Arial"/>
          <w:sz w:val="24"/>
          <w:szCs w:val="24"/>
          <w:lang w:val="en-US"/>
        </w:rPr>
        <w:t>. godini orijentisana na aktivnosti koje će doprinijeti ekonomskom i socijalnom jačanju Federacije BiH, odnosno države Bosne i Hercegovine. U tom kontekstu se nastavljaju provoditi oštre mjere štednje u svim segmentima javne potrošnje.</w:t>
      </w:r>
    </w:p>
    <w:p w:rsidR="00E73E0E" w:rsidRDefault="00E73E0E" w:rsidP="00E73E0E">
      <w:pPr>
        <w:spacing w:after="0" w:line="240" w:lineRule="auto"/>
        <w:jc w:val="both"/>
        <w:rPr>
          <w:rFonts w:asciiTheme="majorHAnsi" w:hAnsiTheme="majorHAnsi" w:cs="Arial"/>
          <w:sz w:val="24"/>
          <w:szCs w:val="24"/>
        </w:rPr>
      </w:pPr>
      <w:r w:rsidRPr="00C01A87">
        <w:rPr>
          <w:rFonts w:asciiTheme="majorHAnsi" w:hAnsiTheme="majorHAnsi" w:cs="Arial"/>
          <w:sz w:val="24"/>
          <w:szCs w:val="24"/>
        </w:rPr>
        <w:t>Važno je naglasiti da je na poziciji bruto plaća i naknada i doprinosa došlo do umanjenja planiranih sredstava za iznos od oko 1</w:t>
      </w:r>
      <w:r w:rsidR="00C01A87" w:rsidRPr="00C01A87">
        <w:rPr>
          <w:rFonts w:asciiTheme="majorHAnsi" w:hAnsiTheme="majorHAnsi" w:cs="Arial"/>
          <w:sz w:val="24"/>
          <w:szCs w:val="24"/>
        </w:rPr>
        <w:t>0</w:t>
      </w:r>
      <w:r w:rsidRPr="00C01A87">
        <w:rPr>
          <w:rFonts w:asciiTheme="majorHAnsi" w:hAnsiTheme="majorHAnsi" w:cs="Arial"/>
          <w:sz w:val="24"/>
          <w:szCs w:val="24"/>
        </w:rPr>
        <w:t>,</w:t>
      </w:r>
      <w:r w:rsidR="00C01A87" w:rsidRPr="00C01A87">
        <w:rPr>
          <w:rFonts w:asciiTheme="majorHAnsi" w:hAnsiTheme="majorHAnsi" w:cs="Arial"/>
          <w:sz w:val="24"/>
          <w:szCs w:val="24"/>
        </w:rPr>
        <w:t>3</w:t>
      </w:r>
      <w:r w:rsidRPr="00C01A87">
        <w:rPr>
          <w:rFonts w:asciiTheme="majorHAnsi" w:hAnsiTheme="majorHAnsi" w:cs="Arial"/>
          <w:sz w:val="24"/>
          <w:szCs w:val="24"/>
        </w:rPr>
        <w:t xml:space="preserve"> mil. KM. Osnovni razlozi za smanjenje su bili</w:t>
      </w:r>
      <w:r w:rsidR="00C01A87" w:rsidRPr="00C01A87">
        <w:rPr>
          <w:rFonts w:asciiTheme="majorHAnsi" w:hAnsiTheme="majorHAnsi" w:cs="Arial"/>
          <w:sz w:val="24"/>
          <w:szCs w:val="24"/>
        </w:rPr>
        <w:t xml:space="preserve"> moratorij na zapošaljvanje koji kontinuirano provodi Vlada Federacije BiH, kao i usvojeni dokument Politike o ograničavanju javne potrošnje na plaće i naknade, također usvojen od strane Vlade Federacije BiH.</w:t>
      </w:r>
    </w:p>
    <w:p w:rsidR="00C01A87" w:rsidRPr="009513BF" w:rsidRDefault="00C01A87" w:rsidP="00E73E0E">
      <w:pPr>
        <w:spacing w:after="0" w:line="240" w:lineRule="auto"/>
        <w:jc w:val="both"/>
        <w:rPr>
          <w:rFonts w:asciiTheme="majorHAnsi" w:hAnsiTheme="majorHAnsi" w:cs="Arial"/>
          <w:sz w:val="24"/>
          <w:szCs w:val="24"/>
          <w:highlight w:val="yellow"/>
        </w:rPr>
      </w:pPr>
    </w:p>
    <w:p w:rsidR="00C01A87" w:rsidRDefault="00E73E0E" w:rsidP="00E73E0E">
      <w:pPr>
        <w:spacing w:after="0" w:line="240" w:lineRule="auto"/>
        <w:jc w:val="both"/>
        <w:rPr>
          <w:rFonts w:asciiTheme="majorHAnsi" w:hAnsiTheme="majorHAnsi" w:cs="Arial"/>
          <w:sz w:val="24"/>
          <w:szCs w:val="24"/>
        </w:rPr>
      </w:pPr>
      <w:r w:rsidRPr="00C01A87">
        <w:rPr>
          <w:rFonts w:asciiTheme="majorHAnsi" w:hAnsiTheme="majorHAnsi" w:cs="Arial"/>
          <w:sz w:val="24"/>
          <w:szCs w:val="24"/>
        </w:rPr>
        <w:t xml:space="preserve">Izdaci za materijal, sitan inventar i usluge </w:t>
      </w:r>
      <w:r w:rsidR="00C01A87" w:rsidRPr="00C01A87">
        <w:rPr>
          <w:rFonts w:asciiTheme="majorHAnsi" w:hAnsiTheme="majorHAnsi" w:cs="Arial"/>
          <w:sz w:val="24"/>
          <w:szCs w:val="24"/>
        </w:rPr>
        <w:t>su blago povećani, i to u iznosu od 0</w:t>
      </w:r>
      <w:r w:rsidRPr="00C01A87">
        <w:rPr>
          <w:rFonts w:asciiTheme="majorHAnsi" w:hAnsiTheme="majorHAnsi" w:cs="Arial"/>
          <w:sz w:val="24"/>
          <w:szCs w:val="24"/>
        </w:rPr>
        <w:t xml:space="preserve">,6 mil. KM. </w:t>
      </w:r>
      <w:r w:rsidR="00C01A87" w:rsidRPr="00C01A87">
        <w:rPr>
          <w:rFonts w:asciiTheme="majorHAnsi" w:hAnsiTheme="majorHAnsi" w:cs="Arial"/>
          <w:sz w:val="24"/>
          <w:szCs w:val="24"/>
        </w:rPr>
        <w:t>Povećanje</w:t>
      </w:r>
      <w:r w:rsidRPr="00C01A87">
        <w:rPr>
          <w:rFonts w:asciiTheme="majorHAnsi" w:hAnsiTheme="majorHAnsi" w:cs="Arial"/>
          <w:sz w:val="24"/>
          <w:szCs w:val="24"/>
        </w:rPr>
        <w:t xml:space="preserve"> na ovom ekonomskom kodu je</w:t>
      </w:r>
      <w:r w:rsidR="00C01A87" w:rsidRPr="00C01A87">
        <w:rPr>
          <w:rFonts w:asciiTheme="majorHAnsi" w:hAnsiTheme="majorHAnsi" w:cs="Arial"/>
          <w:sz w:val="24"/>
          <w:szCs w:val="24"/>
        </w:rPr>
        <w:t xml:space="preserve"> prije svega rezultat</w:t>
      </w:r>
      <w:r w:rsidRPr="00C01A87">
        <w:rPr>
          <w:rFonts w:asciiTheme="majorHAnsi" w:hAnsiTheme="majorHAnsi" w:cs="Arial"/>
          <w:sz w:val="24"/>
          <w:szCs w:val="24"/>
        </w:rPr>
        <w:t xml:space="preserve"> </w:t>
      </w:r>
      <w:r w:rsidR="00C01A87" w:rsidRPr="00C01A87">
        <w:rPr>
          <w:rFonts w:asciiTheme="majorHAnsi" w:hAnsiTheme="majorHAnsi" w:cs="Arial"/>
          <w:sz w:val="24"/>
          <w:szCs w:val="24"/>
        </w:rPr>
        <w:t xml:space="preserve"> povećanja  izdataka za zatezne kamate na sudska rješenja i troškove spora.</w:t>
      </w:r>
    </w:p>
    <w:p w:rsidR="00C01A87" w:rsidRDefault="00C01A87" w:rsidP="00E73E0E">
      <w:pPr>
        <w:spacing w:after="0" w:line="240" w:lineRule="auto"/>
        <w:jc w:val="both"/>
        <w:rPr>
          <w:rFonts w:asciiTheme="majorHAnsi" w:hAnsiTheme="majorHAnsi" w:cs="Arial"/>
          <w:sz w:val="24"/>
          <w:szCs w:val="24"/>
        </w:rPr>
      </w:pPr>
    </w:p>
    <w:p w:rsidR="00E73E0E" w:rsidRPr="009C0E17" w:rsidRDefault="003E7961" w:rsidP="00E73E0E">
      <w:pPr>
        <w:spacing w:after="0" w:line="240" w:lineRule="auto"/>
        <w:jc w:val="both"/>
        <w:rPr>
          <w:rFonts w:asciiTheme="majorHAnsi" w:hAnsiTheme="majorHAnsi" w:cs="Arial"/>
          <w:sz w:val="24"/>
          <w:szCs w:val="24"/>
        </w:rPr>
      </w:pPr>
      <w:r w:rsidRPr="00016152">
        <w:rPr>
          <w:rFonts w:asciiTheme="majorHAnsi" w:hAnsiTheme="majorHAnsi" w:cs="Arial"/>
          <w:sz w:val="24"/>
          <w:szCs w:val="24"/>
        </w:rPr>
        <w:lastRenderedPageBreak/>
        <w:t>Predloženom odlukom o</w:t>
      </w:r>
      <w:r w:rsidR="00E73E0E" w:rsidRPr="00016152">
        <w:rPr>
          <w:rFonts w:asciiTheme="majorHAnsi" w:hAnsiTheme="majorHAnsi" w:cs="Arial"/>
          <w:sz w:val="24"/>
          <w:szCs w:val="24"/>
        </w:rPr>
        <w:t xml:space="preserve"> izmjenama i dopunama Budžeta Federacije Bosne i Hercegovine </w:t>
      </w:r>
      <w:r w:rsidR="00E73E0E" w:rsidRPr="009C0E17">
        <w:rPr>
          <w:rFonts w:asciiTheme="majorHAnsi" w:hAnsiTheme="majorHAnsi" w:cs="Arial"/>
          <w:sz w:val="24"/>
          <w:szCs w:val="24"/>
        </w:rPr>
        <w:t>za 201</w:t>
      </w:r>
      <w:r w:rsidR="006C49DA" w:rsidRPr="009C0E17">
        <w:rPr>
          <w:rFonts w:asciiTheme="majorHAnsi" w:hAnsiTheme="majorHAnsi" w:cs="Arial"/>
          <w:sz w:val="24"/>
          <w:szCs w:val="24"/>
        </w:rPr>
        <w:t>6</w:t>
      </w:r>
      <w:r w:rsidR="00E73E0E" w:rsidRPr="009C0E17">
        <w:rPr>
          <w:rFonts w:asciiTheme="majorHAnsi" w:hAnsiTheme="majorHAnsi" w:cs="Arial"/>
          <w:sz w:val="24"/>
          <w:szCs w:val="24"/>
        </w:rPr>
        <w:t xml:space="preserve">. godinu došlo je do </w:t>
      </w:r>
      <w:r w:rsidR="006C49DA" w:rsidRPr="009C0E17">
        <w:rPr>
          <w:rFonts w:asciiTheme="majorHAnsi" w:hAnsiTheme="majorHAnsi" w:cs="Arial"/>
          <w:sz w:val="24"/>
          <w:szCs w:val="24"/>
        </w:rPr>
        <w:t xml:space="preserve">blagog </w:t>
      </w:r>
      <w:r w:rsidR="00E73E0E" w:rsidRPr="009C0E17">
        <w:rPr>
          <w:rFonts w:asciiTheme="majorHAnsi" w:hAnsiTheme="majorHAnsi" w:cs="Arial"/>
          <w:sz w:val="24"/>
          <w:szCs w:val="24"/>
        </w:rPr>
        <w:t>povećanja tekućih transfera i drugih tekućih rashoda u ukupnom iznosu</w:t>
      </w:r>
      <w:r w:rsidR="00D432FA" w:rsidRPr="009C0E17">
        <w:rPr>
          <w:rFonts w:asciiTheme="majorHAnsi" w:hAnsiTheme="majorHAnsi" w:cs="Arial"/>
          <w:sz w:val="24"/>
          <w:szCs w:val="24"/>
        </w:rPr>
        <w:t xml:space="preserve"> za oko </w:t>
      </w:r>
      <w:r w:rsidR="008D238E">
        <w:rPr>
          <w:rFonts w:asciiTheme="majorHAnsi" w:hAnsiTheme="majorHAnsi" w:cs="Arial"/>
          <w:sz w:val="24"/>
          <w:szCs w:val="24"/>
        </w:rPr>
        <w:t xml:space="preserve">4,0 </w:t>
      </w:r>
      <w:r w:rsidR="00E73E0E" w:rsidRPr="009C0E17">
        <w:rPr>
          <w:rFonts w:asciiTheme="majorHAnsi" w:hAnsiTheme="majorHAnsi" w:cs="Arial"/>
          <w:sz w:val="24"/>
          <w:szCs w:val="24"/>
        </w:rPr>
        <w:t>mil. KM od čega se najznačanije izmjene odnose na:</w:t>
      </w:r>
    </w:p>
    <w:p w:rsidR="00E73E0E" w:rsidRPr="009C0E17" w:rsidRDefault="00E73E0E" w:rsidP="00E73E0E">
      <w:pPr>
        <w:spacing w:after="0" w:line="240" w:lineRule="auto"/>
        <w:jc w:val="both"/>
        <w:rPr>
          <w:rFonts w:asciiTheme="majorHAnsi" w:hAnsiTheme="majorHAnsi" w:cs="Arial"/>
          <w:sz w:val="24"/>
          <w:szCs w:val="24"/>
        </w:rPr>
      </w:pPr>
    </w:p>
    <w:p w:rsidR="009C0E17" w:rsidRPr="008D238E" w:rsidRDefault="00E73E0E" w:rsidP="009C0E17">
      <w:pPr>
        <w:pStyle w:val="ListParagraph"/>
        <w:numPr>
          <w:ilvl w:val="0"/>
          <w:numId w:val="24"/>
        </w:numPr>
        <w:spacing w:after="0" w:line="240" w:lineRule="auto"/>
        <w:jc w:val="both"/>
        <w:rPr>
          <w:rFonts w:asciiTheme="majorHAnsi" w:hAnsiTheme="majorHAnsi" w:cs="Arial"/>
          <w:sz w:val="24"/>
          <w:szCs w:val="24"/>
        </w:rPr>
      </w:pPr>
      <w:r w:rsidRPr="008D238E">
        <w:rPr>
          <w:rFonts w:asciiTheme="majorHAnsi" w:hAnsiTheme="majorHAnsi" w:cs="Arial"/>
          <w:sz w:val="24"/>
          <w:szCs w:val="24"/>
        </w:rPr>
        <w:t>Povećanje sr</w:t>
      </w:r>
      <w:r w:rsidR="00FF33C7" w:rsidRPr="008D238E">
        <w:rPr>
          <w:rFonts w:asciiTheme="majorHAnsi" w:hAnsiTheme="majorHAnsi" w:cs="Arial"/>
          <w:sz w:val="24"/>
          <w:szCs w:val="24"/>
        </w:rPr>
        <w:t xml:space="preserve">edstava na ekonomskim kodovima </w:t>
      </w:r>
      <w:r w:rsidR="00016152" w:rsidRPr="008D238E">
        <w:rPr>
          <w:rFonts w:asciiTheme="majorHAnsi" w:hAnsiTheme="majorHAnsi" w:cs="Arial"/>
          <w:sz w:val="24"/>
          <w:szCs w:val="24"/>
        </w:rPr>
        <w:t xml:space="preserve"> za zaštitu i spašavanje od prirodnih i drugih nesreća</w:t>
      </w:r>
      <w:r w:rsidR="009C0E17" w:rsidRPr="008D238E">
        <w:rPr>
          <w:rFonts w:asciiTheme="majorHAnsi" w:hAnsiTheme="majorHAnsi" w:cs="Arial"/>
          <w:sz w:val="24"/>
          <w:szCs w:val="24"/>
        </w:rPr>
        <w:t xml:space="preserve"> planirano je </w:t>
      </w:r>
      <w:r w:rsidR="00143A33" w:rsidRPr="008D238E">
        <w:rPr>
          <w:rFonts w:asciiTheme="majorHAnsi" w:hAnsiTheme="majorHAnsi" w:cs="Arial"/>
          <w:sz w:val="24"/>
          <w:szCs w:val="24"/>
        </w:rPr>
        <w:t xml:space="preserve">dodatnih </w:t>
      </w:r>
      <w:r w:rsidR="009C0E17" w:rsidRPr="008D238E">
        <w:rPr>
          <w:rFonts w:asciiTheme="majorHAnsi" w:hAnsiTheme="majorHAnsi" w:cs="Arial"/>
          <w:sz w:val="24"/>
          <w:szCs w:val="24"/>
        </w:rPr>
        <w:t xml:space="preserve">5,0 mil. KM. Također na ime izmirenja obaveza </w:t>
      </w:r>
      <w:r w:rsidR="00AD292F" w:rsidRPr="008D238E">
        <w:rPr>
          <w:rFonts w:asciiTheme="majorHAnsi" w:hAnsiTheme="majorHAnsi" w:cs="Arial"/>
          <w:sz w:val="24"/>
          <w:szCs w:val="24"/>
        </w:rPr>
        <w:t xml:space="preserve">prema poljoprivrednicima </w:t>
      </w:r>
      <w:r w:rsidR="009C0E17" w:rsidRPr="008D238E">
        <w:rPr>
          <w:rFonts w:asciiTheme="majorHAnsi" w:hAnsiTheme="majorHAnsi" w:cs="Arial"/>
          <w:sz w:val="24"/>
          <w:szCs w:val="24"/>
        </w:rPr>
        <w:t>iz ranijeg p</w:t>
      </w:r>
      <w:r w:rsidR="00834D88" w:rsidRPr="008D238E">
        <w:rPr>
          <w:rFonts w:asciiTheme="majorHAnsi" w:hAnsiTheme="majorHAnsi" w:cs="Arial"/>
          <w:sz w:val="24"/>
          <w:szCs w:val="24"/>
        </w:rPr>
        <w:t>erioda planirano je 2,1 mil. KM.</w:t>
      </w:r>
    </w:p>
    <w:p w:rsidR="00E73E0E" w:rsidRPr="000B484C" w:rsidRDefault="00E73E0E" w:rsidP="00E73E0E">
      <w:pPr>
        <w:pStyle w:val="ListParagraph"/>
        <w:spacing w:after="0" w:line="240" w:lineRule="auto"/>
        <w:ind w:left="1440"/>
        <w:jc w:val="both"/>
        <w:rPr>
          <w:rFonts w:asciiTheme="majorHAnsi" w:hAnsiTheme="majorHAnsi" w:cs="Arial"/>
          <w:sz w:val="24"/>
          <w:szCs w:val="24"/>
          <w:highlight w:val="yellow"/>
        </w:rPr>
      </w:pPr>
    </w:p>
    <w:p w:rsidR="00016152" w:rsidRPr="000B484C" w:rsidRDefault="000B484C" w:rsidP="00DD64E5">
      <w:pPr>
        <w:pStyle w:val="ListParagraph"/>
        <w:numPr>
          <w:ilvl w:val="0"/>
          <w:numId w:val="24"/>
        </w:numPr>
        <w:spacing w:after="0" w:line="240" w:lineRule="auto"/>
        <w:jc w:val="both"/>
        <w:rPr>
          <w:rFonts w:asciiTheme="majorHAnsi" w:hAnsiTheme="majorHAnsi" w:cs="Arial"/>
          <w:sz w:val="24"/>
          <w:szCs w:val="24"/>
        </w:rPr>
      </w:pPr>
      <w:r w:rsidRPr="000B484C">
        <w:rPr>
          <w:rFonts w:asciiTheme="majorHAnsi" w:hAnsiTheme="majorHAnsi" w:cs="Arial"/>
          <w:sz w:val="24"/>
          <w:szCs w:val="24"/>
        </w:rPr>
        <w:t xml:space="preserve">Efekti uvedenog moratorija na zapošljavanje u federalnim organima uprave su rezultirali uštedama na pozicijama plaća i naknada </w:t>
      </w:r>
      <w:r w:rsidR="00834D88">
        <w:rPr>
          <w:rFonts w:asciiTheme="majorHAnsi" w:hAnsiTheme="majorHAnsi" w:cs="Arial"/>
          <w:sz w:val="24"/>
          <w:szCs w:val="24"/>
        </w:rPr>
        <w:t>u ukupnom iznosu od 10,3 mil KM</w:t>
      </w:r>
      <w:r w:rsidR="00AD292F" w:rsidRPr="000B484C">
        <w:rPr>
          <w:rFonts w:asciiTheme="majorHAnsi" w:hAnsiTheme="majorHAnsi" w:cs="Arial"/>
          <w:sz w:val="24"/>
          <w:szCs w:val="24"/>
        </w:rPr>
        <w:t xml:space="preserve">. Takođe su umanjena </w:t>
      </w:r>
      <w:r w:rsidR="00016152" w:rsidRPr="000B484C">
        <w:rPr>
          <w:rFonts w:asciiTheme="majorHAnsi" w:hAnsiTheme="majorHAnsi" w:cs="Arial"/>
          <w:sz w:val="24"/>
          <w:szCs w:val="24"/>
        </w:rPr>
        <w:t xml:space="preserve"> sredstva u iznosu od 2,0 mil. KM za sufinansiranje projekata putem fondacije ODRAZ. </w:t>
      </w:r>
    </w:p>
    <w:p w:rsidR="00AD292F" w:rsidRPr="000B484C" w:rsidRDefault="00AD292F" w:rsidP="00AD292F">
      <w:pPr>
        <w:pStyle w:val="ListParagraph"/>
        <w:rPr>
          <w:rFonts w:asciiTheme="majorHAnsi" w:hAnsiTheme="majorHAnsi" w:cs="Arial"/>
          <w:sz w:val="24"/>
          <w:szCs w:val="24"/>
        </w:rPr>
      </w:pPr>
    </w:p>
    <w:p w:rsidR="00AD292F" w:rsidRPr="00AD292F" w:rsidRDefault="00AD292F" w:rsidP="00AD292F">
      <w:pPr>
        <w:pStyle w:val="ListParagraph"/>
        <w:spacing w:after="0" w:line="240" w:lineRule="auto"/>
        <w:jc w:val="both"/>
        <w:rPr>
          <w:rFonts w:asciiTheme="majorHAnsi" w:hAnsiTheme="majorHAnsi" w:cs="Arial"/>
          <w:sz w:val="24"/>
          <w:szCs w:val="24"/>
        </w:rPr>
      </w:pPr>
    </w:p>
    <w:p w:rsidR="00D6238E" w:rsidRPr="00D6238E" w:rsidRDefault="00E73E0E" w:rsidP="00DD64E5">
      <w:pPr>
        <w:spacing w:after="0" w:line="240" w:lineRule="auto"/>
        <w:jc w:val="both"/>
        <w:rPr>
          <w:rFonts w:asciiTheme="majorHAnsi" w:hAnsiTheme="majorHAnsi" w:cs="Arial"/>
          <w:sz w:val="24"/>
          <w:szCs w:val="24"/>
        </w:rPr>
      </w:pPr>
      <w:r w:rsidRPr="00D6238E">
        <w:rPr>
          <w:rFonts w:asciiTheme="majorHAnsi" w:hAnsiTheme="majorHAnsi" w:cs="Arial"/>
          <w:sz w:val="24"/>
          <w:szCs w:val="24"/>
        </w:rPr>
        <w:t>Kapitaln</w:t>
      </w:r>
      <w:r w:rsidR="00125C24" w:rsidRPr="00D6238E">
        <w:rPr>
          <w:rFonts w:asciiTheme="majorHAnsi" w:hAnsiTheme="majorHAnsi" w:cs="Arial"/>
          <w:sz w:val="24"/>
          <w:szCs w:val="24"/>
        </w:rPr>
        <w:t xml:space="preserve">i transferi su </w:t>
      </w:r>
      <w:r w:rsidR="003E676F">
        <w:rPr>
          <w:rFonts w:asciiTheme="majorHAnsi" w:hAnsiTheme="majorHAnsi" w:cs="Arial"/>
          <w:sz w:val="24"/>
          <w:szCs w:val="24"/>
        </w:rPr>
        <w:t>smanjeni</w:t>
      </w:r>
      <w:r w:rsidR="00125C24" w:rsidRPr="00D6238E">
        <w:rPr>
          <w:rFonts w:asciiTheme="majorHAnsi" w:hAnsiTheme="majorHAnsi" w:cs="Arial"/>
          <w:sz w:val="24"/>
          <w:szCs w:val="24"/>
        </w:rPr>
        <w:t xml:space="preserve"> za oko </w:t>
      </w:r>
      <w:r w:rsidR="00834D88">
        <w:rPr>
          <w:rFonts w:asciiTheme="majorHAnsi" w:hAnsiTheme="majorHAnsi" w:cs="Arial"/>
          <w:sz w:val="24"/>
          <w:szCs w:val="24"/>
        </w:rPr>
        <w:t>3</w:t>
      </w:r>
      <w:r w:rsidRPr="00D6238E">
        <w:rPr>
          <w:rFonts w:asciiTheme="majorHAnsi" w:hAnsiTheme="majorHAnsi" w:cs="Arial"/>
          <w:sz w:val="24"/>
          <w:szCs w:val="24"/>
        </w:rPr>
        <w:t>,</w:t>
      </w:r>
      <w:r w:rsidR="00834D88">
        <w:rPr>
          <w:rFonts w:asciiTheme="majorHAnsi" w:hAnsiTheme="majorHAnsi" w:cs="Arial"/>
          <w:sz w:val="24"/>
          <w:szCs w:val="24"/>
        </w:rPr>
        <w:t>3</w:t>
      </w:r>
      <w:r w:rsidR="00D6238E" w:rsidRPr="00D6238E">
        <w:rPr>
          <w:rFonts w:asciiTheme="majorHAnsi" w:hAnsiTheme="majorHAnsi" w:cs="Arial"/>
          <w:sz w:val="24"/>
          <w:szCs w:val="24"/>
        </w:rPr>
        <w:t xml:space="preserve"> mil. KM, </w:t>
      </w:r>
      <w:r w:rsidR="003E676F">
        <w:rPr>
          <w:rFonts w:asciiTheme="majorHAnsi" w:hAnsiTheme="majorHAnsi" w:cs="Arial"/>
          <w:sz w:val="24"/>
          <w:szCs w:val="24"/>
        </w:rPr>
        <w:t>a</w:t>
      </w:r>
      <w:r w:rsidRPr="00D6238E">
        <w:rPr>
          <w:rFonts w:asciiTheme="majorHAnsi" w:hAnsiTheme="majorHAnsi" w:cs="Arial"/>
          <w:sz w:val="24"/>
          <w:szCs w:val="24"/>
        </w:rPr>
        <w:t xml:space="preserve"> izdaci za kamate</w:t>
      </w:r>
      <w:r w:rsidR="00D6238E" w:rsidRPr="00D6238E">
        <w:rPr>
          <w:rFonts w:asciiTheme="majorHAnsi" w:hAnsiTheme="majorHAnsi" w:cs="Arial"/>
          <w:sz w:val="24"/>
          <w:szCs w:val="24"/>
        </w:rPr>
        <w:t xml:space="preserve"> smanjeni za 3</w:t>
      </w:r>
      <w:r w:rsidRPr="00D6238E">
        <w:rPr>
          <w:rFonts w:asciiTheme="majorHAnsi" w:hAnsiTheme="majorHAnsi" w:cs="Arial"/>
          <w:sz w:val="24"/>
          <w:szCs w:val="24"/>
        </w:rPr>
        <w:t>,</w:t>
      </w:r>
      <w:r w:rsidR="00D6238E" w:rsidRPr="00D6238E">
        <w:rPr>
          <w:rFonts w:asciiTheme="majorHAnsi" w:hAnsiTheme="majorHAnsi" w:cs="Arial"/>
          <w:sz w:val="24"/>
          <w:szCs w:val="24"/>
        </w:rPr>
        <w:t>0</w:t>
      </w:r>
      <w:r w:rsidRPr="00D6238E">
        <w:rPr>
          <w:rFonts w:asciiTheme="majorHAnsi" w:hAnsiTheme="majorHAnsi" w:cs="Arial"/>
          <w:sz w:val="24"/>
          <w:szCs w:val="24"/>
        </w:rPr>
        <w:t xml:space="preserve"> mil. KM. </w:t>
      </w:r>
    </w:p>
    <w:p w:rsidR="00D6238E" w:rsidRDefault="00D6238E" w:rsidP="00DD64E5">
      <w:pPr>
        <w:spacing w:after="0" w:line="240" w:lineRule="auto"/>
        <w:jc w:val="both"/>
        <w:rPr>
          <w:rFonts w:asciiTheme="majorHAnsi" w:hAnsiTheme="majorHAnsi" w:cs="Arial"/>
          <w:sz w:val="24"/>
          <w:szCs w:val="24"/>
          <w:highlight w:val="yellow"/>
        </w:rPr>
      </w:pPr>
    </w:p>
    <w:p w:rsidR="006C49DA" w:rsidRPr="006C49DA" w:rsidRDefault="00D6238E" w:rsidP="00DD64E5">
      <w:pPr>
        <w:spacing w:after="0" w:line="240" w:lineRule="auto"/>
        <w:jc w:val="both"/>
        <w:rPr>
          <w:rFonts w:asciiTheme="majorHAnsi" w:hAnsiTheme="majorHAnsi" w:cs="Arial"/>
          <w:sz w:val="24"/>
          <w:szCs w:val="24"/>
        </w:rPr>
      </w:pPr>
      <w:r w:rsidRPr="006C49DA">
        <w:rPr>
          <w:rFonts w:asciiTheme="majorHAnsi" w:hAnsiTheme="majorHAnsi" w:cs="Arial"/>
          <w:sz w:val="24"/>
          <w:szCs w:val="24"/>
        </w:rPr>
        <w:t>Također, izdaci</w:t>
      </w:r>
      <w:r w:rsidR="00E73E0E" w:rsidRPr="006C49DA">
        <w:rPr>
          <w:rFonts w:asciiTheme="majorHAnsi" w:hAnsiTheme="majorHAnsi" w:cs="Arial"/>
          <w:sz w:val="24"/>
          <w:szCs w:val="24"/>
        </w:rPr>
        <w:t xml:space="preserve"> za nabavku stalnih sredstava </w:t>
      </w:r>
      <w:r w:rsidRPr="006C49DA">
        <w:rPr>
          <w:rFonts w:asciiTheme="majorHAnsi" w:hAnsiTheme="majorHAnsi" w:cs="Arial"/>
          <w:sz w:val="24"/>
          <w:szCs w:val="24"/>
        </w:rPr>
        <w:t xml:space="preserve">smanjeni su </w:t>
      </w:r>
      <w:r w:rsidR="00E73E0E" w:rsidRPr="006C49DA">
        <w:rPr>
          <w:rFonts w:asciiTheme="majorHAnsi" w:hAnsiTheme="majorHAnsi" w:cs="Arial"/>
          <w:sz w:val="24"/>
          <w:szCs w:val="24"/>
        </w:rPr>
        <w:t xml:space="preserve">u iznosu od oko </w:t>
      </w:r>
      <w:r w:rsidRPr="006C49DA">
        <w:rPr>
          <w:rFonts w:asciiTheme="majorHAnsi" w:hAnsiTheme="majorHAnsi" w:cs="Arial"/>
          <w:sz w:val="24"/>
          <w:szCs w:val="24"/>
        </w:rPr>
        <w:t>4</w:t>
      </w:r>
      <w:r w:rsidR="00E73E0E" w:rsidRPr="006C49DA">
        <w:rPr>
          <w:rFonts w:asciiTheme="majorHAnsi" w:hAnsiTheme="majorHAnsi" w:cs="Arial"/>
          <w:sz w:val="24"/>
          <w:szCs w:val="24"/>
        </w:rPr>
        <w:t>,</w:t>
      </w:r>
      <w:r w:rsidR="003E676F">
        <w:rPr>
          <w:rFonts w:asciiTheme="majorHAnsi" w:hAnsiTheme="majorHAnsi" w:cs="Arial"/>
          <w:sz w:val="24"/>
          <w:szCs w:val="24"/>
        </w:rPr>
        <w:t>3</w:t>
      </w:r>
      <w:r w:rsidR="00E73E0E" w:rsidRPr="006C49DA">
        <w:rPr>
          <w:rFonts w:asciiTheme="majorHAnsi" w:hAnsiTheme="majorHAnsi" w:cs="Arial"/>
          <w:sz w:val="24"/>
          <w:szCs w:val="24"/>
        </w:rPr>
        <w:t xml:space="preserve"> mil. KM</w:t>
      </w:r>
      <w:r w:rsidRPr="006C49DA">
        <w:rPr>
          <w:rFonts w:asciiTheme="majorHAnsi" w:hAnsiTheme="majorHAnsi" w:cs="Arial"/>
          <w:sz w:val="24"/>
          <w:szCs w:val="24"/>
        </w:rPr>
        <w:t xml:space="preserve">, dok su </w:t>
      </w:r>
      <w:r w:rsidR="00125C24" w:rsidRPr="006C49DA">
        <w:rPr>
          <w:rFonts w:asciiTheme="majorHAnsi" w:hAnsiTheme="majorHAnsi" w:cs="Arial"/>
          <w:sz w:val="24"/>
          <w:szCs w:val="24"/>
        </w:rPr>
        <w:t>izda</w:t>
      </w:r>
      <w:r w:rsidRPr="006C49DA">
        <w:rPr>
          <w:rFonts w:asciiTheme="majorHAnsi" w:hAnsiTheme="majorHAnsi" w:cs="Arial"/>
          <w:sz w:val="24"/>
          <w:szCs w:val="24"/>
        </w:rPr>
        <w:t>ci</w:t>
      </w:r>
      <w:r w:rsidR="00125C24" w:rsidRPr="006C49DA">
        <w:rPr>
          <w:rFonts w:asciiTheme="majorHAnsi" w:hAnsiTheme="majorHAnsi" w:cs="Arial"/>
          <w:sz w:val="24"/>
          <w:szCs w:val="24"/>
        </w:rPr>
        <w:t xml:space="preserve"> za finansijsku imovinu</w:t>
      </w:r>
      <w:r w:rsidRPr="006C49DA">
        <w:rPr>
          <w:rFonts w:asciiTheme="majorHAnsi" w:hAnsiTheme="majorHAnsi" w:cs="Arial"/>
          <w:sz w:val="24"/>
          <w:szCs w:val="24"/>
        </w:rPr>
        <w:t xml:space="preserve"> smanjeni </w:t>
      </w:r>
      <w:r w:rsidR="00125C24" w:rsidRPr="006C49DA">
        <w:rPr>
          <w:rFonts w:asciiTheme="majorHAnsi" w:hAnsiTheme="majorHAnsi" w:cs="Arial"/>
          <w:sz w:val="24"/>
          <w:szCs w:val="24"/>
        </w:rPr>
        <w:t>u iznosu od 2,</w:t>
      </w:r>
      <w:r w:rsidR="006C49DA" w:rsidRPr="006C49DA">
        <w:rPr>
          <w:rFonts w:asciiTheme="majorHAnsi" w:hAnsiTheme="majorHAnsi" w:cs="Arial"/>
          <w:sz w:val="24"/>
          <w:szCs w:val="24"/>
        </w:rPr>
        <w:t>5</w:t>
      </w:r>
      <w:r w:rsidR="00125C24" w:rsidRPr="006C49DA">
        <w:rPr>
          <w:rFonts w:asciiTheme="majorHAnsi" w:hAnsiTheme="majorHAnsi" w:cs="Arial"/>
          <w:sz w:val="24"/>
          <w:szCs w:val="24"/>
        </w:rPr>
        <w:t xml:space="preserve"> mil. KM.</w:t>
      </w:r>
    </w:p>
    <w:p w:rsidR="006C49DA" w:rsidRPr="006C49DA" w:rsidRDefault="006C49DA" w:rsidP="00DD64E5">
      <w:pPr>
        <w:spacing w:after="0" w:line="240" w:lineRule="auto"/>
        <w:jc w:val="both"/>
        <w:rPr>
          <w:rFonts w:asciiTheme="majorHAnsi" w:hAnsiTheme="majorHAnsi" w:cs="Arial"/>
          <w:sz w:val="24"/>
          <w:szCs w:val="24"/>
        </w:rPr>
      </w:pPr>
    </w:p>
    <w:p w:rsidR="00E73E0E" w:rsidRPr="006C49DA" w:rsidRDefault="006C49DA" w:rsidP="00DD64E5">
      <w:pPr>
        <w:spacing w:after="0" w:line="240" w:lineRule="auto"/>
        <w:jc w:val="both"/>
        <w:rPr>
          <w:rFonts w:asciiTheme="majorHAnsi" w:hAnsiTheme="majorHAnsi" w:cs="Arial"/>
          <w:b/>
          <w:sz w:val="24"/>
          <w:szCs w:val="24"/>
        </w:rPr>
      </w:pPr>
      <w:r w:rsidRPr="006C49DA">
        <w:rPr>
          <w:rFonts w:asciiTheme="majorHAnsi" w:hAnsiTheme="majorHAnsi" w:cs="Arial"/>
          <w:sz w:val="24"/>
          <w:szCs w:val="24"/>
        </w:rPr>
        <w:t xml:space="preserve">Što se tiče </w:t>
      </w:r>
      <w:r w:rsidR="00E73E0E" w:rsidRPr="006C49DA">
        <w:rPr>
          <w:rFonts w:asciiTheme="majorHAnsi" w:hAnsiTheme="majorHAnsi" w:cs="Arial"/>
          <w:sz w:val="24"/>
          <w:szCs w:val="24"/>
        </w:rPr>
        <w:t xml:space="preserve">izdataka za otplatu </w:t>
      </w:r>
      <w:r w:rsidRPr="006C49DA">
        <w:rPr>
          <w:rFonts w:asciiTheme="majorHAnsi" w:hAnsiTheme="majorHAnsi" w:cs="Arial"/>
          <w:sz w:val="24"/>
          <w:szCs w:val="24"/>
        </w:rPr>
        <w:t xml:space="preserve">dugova, isti su smanjeni u iznosu </w:t>
      </w:r>
      <w:r w:rsidR="00E73E0E" w:rsidRPr="006C49DA">
        <w:rPr>
          <w:rFonts w:asciiTheme="majorHAnsi" w:hAnsiTheme="majorHAnsi" w:cs="Arial"/>
          <w:sz w:val="24"/>
          <w:szCs w:val="24"/>
        </w:rPr>
        <w:t xml:space="preserve">od oko </w:t>
      </w:r>
      <w:r w:rsidRPr="006C49DA">
        <w:rPr>
          <w:rFonts w:asciiTheme="majorHAnsi" w:hAnsiTheme="majorHAnsi" w:cs="Arial"/>
          <w:sz w:val="24"/>
          <w:szCs w:val="24"/>
        </w:rPr>
        <w:t>62</w:t>
      </w:r>
      <w:r w:rsidR="00E73E0E" w:rsidRPr="006C49DA">
        <w:rPr>
          <w:rFonts w:asciiTheme="majorHAnsi" w:hAnsiTheme="majorHAnsi" w:cs="Arial"/>
          <w:sz w:val="24"/>
          <w:szCs w:val="24"/>
        </w:rPr>
        <w:t>,</w:t>
      </w:r>
      <w:r w:rsidRPr="006C49DA">
        <w:rPr>
          <w:rFonts w:asciiTheme="majorHAnsi" w:hAnsiTheme="majorHAnsi" w:cs="Arial"/>
          <w:sz w:val="24"/>
          <w:szCs w:val="24"/>
        </w:rPr>
        <w:t>8</w:t>
      </w:r>
      <w:r w:rsidR="00E73E0E" w:rsidRPr="006C49DA">
        <w:rPr>
          <w:rFonts w:asciiTheme="majorHAnsi" w:hAnsiTheme="majorHAnsi" w:cs="Arial"/>
          <w:sz w:val="24"/>
          <w:szCs w:val="24"/>
        </w:rPr>
        <w:t xml:space="preserve"> mil. KM. </w:t>
      </w:r>
    </w:p>
    <w:p w:rsidR="00DD64E5" w:rsidRPr="006C49DA" w:rsidRDefault="00DD64E5" w:rsidP="00DD64E5">
      <w:pPr>
        <w:spacing w:after="0" w:line="240" w:lineRule="auto"/>
        <w:jc w:val="both"/>
        <w:rPr>
          <w:rFonts w:asciiTheme="majorHAnsi" w:hAnsiTheme="majorHAnsi" w:cs="Arial"/>
          <w:b/>
          <w:sz w:val="24"/>
          <w:szCs w:val="24"/>
        </w:rPr>
      </w:pPr>
    </w:p>
    <w:p w:rsidR="00165AC8" w:rsidRPr="00C01A87" w:rsidRDefault="00E73E0E" w:rsidP="00DD64E5">
      <w:pPr>
        <w:jc w:val="both"/>
        <w:rPr>
          <w:rFonts w:asciiTheme="majorHAnsi" w:hAnsiTheme="majorHAnsi" w:cs="Arial"/>
          <w:sz w:val="24"/>
          <w:szCs w:val="24"/>
          <w:lang w:val="en-US"/>
        </w:rPr>
      </w:pPr>
      <w:r w:rsidRPr="00C01A87">
        <w:rPr>
          <w:rFonts w:asciiTheme="majorHAnsi" w:hAnsiTheme="majorHAnsi" w:cs="Arial"/>
          <w:sz w:val="24"/>
          <w:szCs w:val="24"/>
        </w:rPr>
        <w:t xml:space="preserve">Shodno navedenom, a </w:t>
      </w:r>
      <w:r w:rsidR="003E7961" w:rsidRPr="00C01A87">
        <w:rPr>
          <w:rFonts w:asciiTheme="majorHAnsi" w:hAnsiTheme="majorHAnsi" w:cs="Arial"/>
          <w:sz w:val="24"/>
          <w:szCs w:val="24"/>
          <w:lang w:val="en-US"/>
        </w:rPr>
        <w:t>na osnovu predložene odluke o</w:t>
      </w:r>
      <w:r w:rsidRPr="00C01A87">
        <w:rPr>
          <w:rFonts w:asciiTheme="majorHAnsi" w:hAnsiTheme="majorHAnsi" w:cs="Arial"/>
          <w:sz w:val="24"/>
          <w:szCs w:val="24"/>
          <w:lang w:val="en-US"/>
        </w:rPr>
        <w:t xml:space="preserve"> izmjena</w:t>
      </w:r>
      <w:r w:rsidR="003E7961" w:rsidRPr="00C01A87">
        <w:rPr>
          <w:rFonts w:asciiTheme="majorHAnsi" w:hAnsiTheme="majorHAnsi" w:cs="Arial"/>
          <w:sz w:val="24"/>
          <w:szCs w:val="24"/>
          <w:lang w:val="en-US"/>
        </w:rPr>
        <w:t>ma</w:t>
      </w:r>
      <w:r w:rsidRPr="00C01A87">
        <w:rPr>
          <w:rFonts w:asciiTheme="majorHAnsi" w:hAnsiTheme="majorHAnsi" w:cs="Arial"/>
          <w:sz w:val="24"/>
          <w:szCs w:val="24"/>
          <w:lang w:val="en-US"/>
        </w:rPr>
        <w:t xml:space="preserve"> i dopuna</w:t>
      </w:r>
      <w:r w:rsidR="003E7961" w:rsidRPr="00C01A87">
        <w:rPr>
          <w:rFonts w:asciiTheme="majorHAnsi" w:hAnsiTheme="majorHAnsi" w:cs="Arial"/>
          <w:sz w:val="24"/>
          <w:szCs w:val="24"/>
          <w:lang w:val="en-US"/>
        </w:rPr>
        <w:t>ma,</w:t>
      </w:r>
      <w:r w:rsidRPr="00C01A87">
        <w:rPr>
          <w:rFonts w:asciiTheme="majorHAnsi" w:hAnsiTheme="majorHAnsi" w:cs="Arial"/>
          <w:sz w:val="24"/>
          <w:szCs w:val="24"/>
          <w:lang w:val="en-US"/>
        </w:rPr>
        <w:t xml:space="preserve"> Budžet Federacije Bosne i Hercegovine za 201</w:t>
      </w:r>
      <w:r w:rsidR="00C01A87" w:rsidRPr="00C01A87">
        <w:rPr>
          <w:rFonts w:asciiTheme="majorHAnsi" w:hAnsiTheme="majorHAnsi" w:cs="Arial"/>
          <w:sz w:val="24"/>
          <w:szCs w:val="24"/>
          <w:lang w:val="en-US"/>
        </w:rPr>
        <w:t>6</w:t>
      </w:r>
      <w:r w:rsidRPr="00C01A87">
        <w:rPr>
          <w:rFonts w:asciiTheme="majorHAnsi" w:hAnsiTheme="majorHAnsi" w:cs="Arial"/>
          <w:sz w:val="24"/>
          <w:szCs w:val="24"/>
          <w:lang w:val="en-US"/>
        </w:rPr>
        <w:t xml:space="preserve">. godinu </w:t>
      </w:r>
      <w:r w:rsidR="00C01A87" w:rsidRPr="00C01A87">
        <w:rPr>
          <w:rFonts w:asciiTheme="majorHAnsi" w:hAnsiTheme="majorHAnsi" w:cs="Arial"/>
          <w:sz w:val="24"/>
          <w:szCs w:val="24"/>
          <w:lang w:val="en-US"/>
        </w:rPr>
        <w:t>smanje</w:t>
      </w:r>
      <w:r w:rsidR="00834D88">
        <w:rPr>
          <w:rFonts w:asciiTheme="majorHAnsi" w:hAnsiTheme="majorHAnsi" w:cs="Arial"/>
          <w:sz w:val="24"/>
          <w:szCs w:val="24"/>
          <w:lang w:val="en-US"/>
        </w:rPr>
        <w:t>n je u ukupnom iznosu od oko  85,7</w:t>
      </w:r>
      <w:r w:rsidRPr="00C01A87">
        <w:rPr>
          <w:rFonts w:asciiTheme="majorHAnsi" w:hAnsiTheme="majorHAnsi" w:cs="Arial"/>
          <w:sz w:val="24"/>
          <w:szCs w:val="24"/>
          <w:lang w:val="en-US"/>
        </w:rPr>
        <w:t xml:space="preserve"> mil. KM.</w:t>
      </w:r>
      <w:r w:rsidR="00DD64E5" w:rsidRPr="00C01A87">
        <w:rPr>
          <w:rFonts w:asciiTheme="majorHAnsi" w:hAnsiTheme="majorHAnsi" w:cs="Arial"/>
          <w:sz w:val="24"/>
          <w:szCs w:val="24"/>
          <w:lang w:val="en-US"/>
        </w:rPr>
        <w:t xml:space="preserve"> </w:t>
      </w:r>
    </w:p>
    <w:p w:rsidR="00152317" w:rsidRDefault="0068417D" w:rsidP="00DD64E5">
      <w:pPr>
        <w:jc w:val="both"/>
        <w:rPr>
          <w:rFonts w:asciiTheme="majorHAnsi" w:hAnsiTheme="majorHAnsi" w:cs="Arial"/>
          <w:sz w:val="24"/>
          <w:szCs w:val="24"/>
          <w:lang w:val="en-US"/>
        </w:rPr>
      </w:pPr>
      <w:r w:rsidRPr="00C01A87">
        <w:rPr>
          <w:rFonts w:asciiTheme="majorHAnsi" w:hAnsiTheme="majorHAnsi" w:cs="Arial"/>
          <w:sz w:val="24"/>
          <w:szCs w:val="24"/>
          <w:lang w:val="en-US"/>
        </w:rPr>
        <w:t xml:space="preserve">U narednoj tabeli prikazana je struktura </w:t>
      </w:r>
      <w:r w:rsidR="005E7F90">
        <w:rPr>
          <w:rFonts w:asciiTheme="majorHAnsi" w:hAnsiTheme="majorHAnsi" w:cs="Arial"/>
          <w:sz w:val="24"/>
          <w:szCs w:val="24"/>
          <w:lang w:val="en-US"/>
        </w:rPr>
        <w:t>predložene odluke o izmjenama i</w:t>
      </w:r>
      <w:r w:rsidR="003E7961" w:rsidRPr="00C01A87">
        <w:rPr>
          <w:rFonts w:asciiTheme="majorHAnsi" w:hAnsiTheme="majorHAnsi" w:cs="Arial"/>
          <w:sz w:val="24"/>
          <w:szCs w:val="24"/>
          <w:lang w:val="en-US"/>
        </w:rPr>
        <w:t xml:space="preserve"> dopunama </w:t>
      </w:r>
      <w:r w:rsidR="00C01A87" w:rsidRPr="00C01A87">
        <w:rPr>
          <w:rFonts w:asciiTheme="majorHAnsi" w:hAnsiTheme="majorHAnsi" w:cs="Arial"/>
          <w:sz w:val="24"/>
          <w:szCs w:val="24"/>
          <w:lang w:val="en-US"/>
        </w:rPr>
        <w:t>Budžeta Federacije BiH za 2016</w:t>
      </w:r>
      <w:r w:rsidRPr="00C01A87">
        <w:rPr>
          <w:rFonts w:asciiTheme="majorHAnsi" w:hAnsiTheme="majorHAnsi" w:cs="Arial"/>
          <w:sz w:val="24"/>
          <w:szCs w:val="24"/>
          <w:lang w:val="en-US"/>
        </w:rPr>
        <w:t>. godinu:</w:t>
      </w:r>
    </w:p>
    <w:p w:rsidR="009513BF" w:rsidRDefault="003E676F" w:rsidP="00DD64E5">
      <w:pPr>
        <w:jc w:val="both"/>
        <w:rPr>
          <w:rFonts w:asciiTheme="majorHAnsi" w:hAnsiTheme="majorHAnsi" w:cs="Arial"/>
          <w:sz w:val="24"/>
          <w:szCs w:val="24"/>
          <w:lang w:val="en-US"/>
        </w:rPr>
      </w:pPr>
      <w:r w:rsidRPr="003E676F">
        <w:rPr>
          <w:lang w:eastAsia="bs-Latn-BA"/>
        </w:rPr>
        <w:lastRenderedPageBreak/>
        <w:drawing>
          <wp:inline distT="0" distB="0" distL="0" distR="0">
            <wp:extent cx="5943600" cy="726341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7263416"/>
                    </a:xfrm>
                    <a:prstGeom prst="rect">
                      <a:avLst/>
                    </a:prstGeom>
                    <a:noFill/>
                    <a:ln>
                      <a:noFill/>
                    </a:ln>
                  </pic:spPr>
                </pic:pic>
              </a:graphicData>
            </a:graphic>
          </wp:inline>
        </w:drawing>
      </w:r>
    </w:p>
    <w:p w:rsidR="000930C3" w:rsidRPr="00324DF7" w:rsidRDefault="000930C3" w:rsidP="009513BF">
      <w:pPr>
        <w:tabs>
          <w:tab w:val="left" w:pos="2805"/>
        </w:tabs>
        <w:spacing w:before="240" w:after="240" w:line="240" w:lineRule="auto"/>
        <w:jc w:val="both"/>
        <w:rPr>
          <w:rFonts w:ascii="Arial" w:hAnsi="Arial" w:cs="Arial"/>
          <w:sz w:val="24"/>
          <w:szCs w:val="24"/>
          <w:lang w:val="en-US"/>
        </w:rPr>
      </w:pPr>
    </w:p>
    <w:tbl>
      <w:tblPr>
        <w:tblpPr w:leftFromText="180" w:rightFromText="180" w:vertAnchor="text" w:horzAnchor="margin" w:tblpY="89"/>
        <w:tblW w:w="5352" w:type="pct"/>
        <w:tblCellMar>
          <w:left w:w="360" w:type="dxa"/>
          <w:right w:w="360" w:type="dxa"/>
        </w:tblCellMar>
        <w:tblLook w:val="04A0" w:firstRow="1" w:lastRow="0" w:firstColumn="1" w:lastColumn="0" w:noHBand="0" w:noVBand="1"/>
      </w:tblPr>
      <w:tblGrid>
        <w:gridCol w:w="1170"/>
        <w:gridCol w:w="8849"/>
      </w:tblGrid>
      <w:tr w:rsidR="009513BF" w:rsidTr="00C26CF4">
        <w:trPr>
          <w:trHeight w:val="746"/>
        </w:trPr>
        <w:tc>
          <w:tcPr>
            <w:tcW w:w="584" w:type="pct"/>
            <w:shd w:val="clear" w:color="auto" w:fill="4F6228" w:themeFill="accent3" w:themeFillShade="80"/>
            <w:vAlign w:val="center"/>
          </w:tcPr>
          <w:p w:rsidR="009513BF" w:rsidRPr="009513BF" w:rsidRDefault="009539DA" w:rsidP="00C26CF4">
            <w:pPr>
              <w:pStyle w:val="NoSpacing"/>
              <w:jc w:val="center"/>
              <w:rPr>
                <w:rFonts w:asciiTheme="majorHAnsi" w:hAnsiTheme="majorHAnsi"/>
                <w:b/>
                <w:smallCaps/>
                <w:color w:val="FFFFFF" w:themeColor="background1"/>
                <w:sz w:val="24"/>
                <w:szCs w:val="24"/>
              </w:rPr>
            </w:pPr>
            <w:r>
              <w:rPr>
                <w:rFonts w:asciiTheme="majorHAnsi" w:hAnsiTheme="majorHAnsi"/>
                <w:b/>
                <w:smallCaps/>
                <w:color w:val="FFFFFF" w:themeColor="background1"/>
                <w:sz w:val="32"/>
                <w:szCs w:val="24"/>
              </w:rPr>
              <w:lastRenderedPageBreak/>
              <w:t>4</w:t>
            </w:r>
            <w:r w:rsidR="009513BF" w:rsidRPr="009513BF">
              <w:rPr>
                <w:rFonts w:asciiTheme="majorHAnsi" w:hAnsiTheme="majorHAnsi"/>
                <w:b/>
                <w:smallCaps/>
                <w:color w:val="FFFFFF" w:themeColor="background1"/>
                <w:sz w:val="32"/>
                <w:szCs w:val="24"/>
              </w:rPr>
              <w:t>.</w:t>
            </w:r>
          </w:p>
        </w:tc>
        <w:tc>
          <w:tcPr>
            <w:tcW w:w="4416" w:type="pct"/>
            <w:shd w:val="clear" w:color="auto" w:fill="C2D69B" w:themeFill="accent3" w:themeFillTint="99"/>
            <w:vAlign w:val="center"/>
          </w:tcPr>
          <w:p w:rsidR="009513BF" w:rsidRPr="009513BF" w:rsidRDefault="009513BF" w:rsidP="00C26CF4">
            <w:pPr>
              <w:pStyle w:val="NoSpacing"/>
              <w:rPr>
                <w:rFonts w:asciiTheme="majorHAnsi" w:hAnsiTheme="majorHAnsi"/>
                <w:b/>
                <w:smallCaps/>
                <w:color w:val="FFFFFF" w:themeColor="background1"/>
                <w:sz w:val="28"/>
                <w:szCs w:val="28"/>
                <w:lang w:val="de-DE"/>
              </w:rPr>
            </w:pPr>
            <w:r w:rsidRPr="009513BF">
              <w:rPr>
                <w:rFonts w:asciiTheme="majorHAnsi" w:hAnsiTheme="majorHAnsi"/>
                <w:b/>
                <w:smallCaps/>
                <w:sz w:val="32"/>
                <w:szCs w:val="28"/>
                <w:lang w:val="de-DE"/>
              </w:rPr>
              <w:t>PRIHODI I PRIMICI</w:t>
            </w:r>
          </w:p>
        </w:tc>
      </w:tr>
    </w:tbl>
    <w:p w:rsidR="009513BF" w:rsidRDefault="009513BF" w:rsidP="009513BF">
      <w:pPr>
        <w:tabs>
          <w:tab w:val="left" w:pos="2805"/>
        </w:tabs>
        <w:spacing w:after="0" w:line="240" w:lineRule="auto"/>
        <w:jc w:val="both"/>
        <w:rPr>
          <w:rFonts w:ascii="Arial" w:hAnsi="Arial" w:cs="Arial"/>
          <w:sz w:val="24"/>
          <w:szCs w:val="24"/>
          <w:lang w:val="en-US"/>
        </w:rPr>
      </w:pPr>
    </w:p>
    <w:p w:rsidR="0055696A" w:rsidRDefault="0055696A" w:rsidP="009513BF">
      <w:pPr>
        <w:tabs>
          <w:tab w:val="left" w:pos="2805"/>
        </w:tabs>
        <w:spacing w:after="0" w:line="240" w:lineRule="auto"/>
        <w:jc w:val="both"/>
        <w:rPr>
          <w:rFonts w:asciiTheme="majorHAnsi" w:hAnsiTheme="majorHAnsi" w:cs="Arial"/>
          <w:sz w:val="24"/>
          <w:szCs w:val="24"/>
          <w:lang w:val="en-US"/>
        </w:rPr>
      </w:pPr>
    </w:p>
    <w:p w:rsidR="003E676F" w:rsidRDefault="003E676F" w:rsidP="009513BF">
      <w:pPr>
        <w:tabs>
          <w:tab w:val="left" w:pos="2805"/>
        </w:tabs>
        <w:spacing w:after="0" w:line="240" w:lineRule="auto"/>
        <w:jc w:val="both"/>
        <w:rPr>
          <w:rFonts w:asciiTheme="majorHAnsi" w:hAnsiTheme="majorHAnsi" w:cs="Arial"/>
          <w:sz w:val="24"/>
          <w:szCs w:val="24"/>
          <w:lang w:val="en-US"/>
        </w:rPr>
      </w:pPr>
    </w:p>
    <w:p w:rsidR="009513BF" w:rsidRPr="009513BF" w:rsidRDefault="009513BF" w:rsidP="009513BF">
      <w:pPr>
        <w:tabs>
          <w:tab w:val="left" w:pos="2805"/>
        </w:tabs>
        <w:spacing w:after="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U Federaciji Bosne i Hercegovine, javni prihodi po osnovu poreza, taksi, naknada, doprinosa i drugih prihoda ostvaruju se, prikupljaju i raspoređuju prema važećim  propisima na teritoriji Federacije BiH, a služe za finansiranje funkcija Federacije, kantona, jedinica lokalne samouprave i direkcija cesta.</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rPr>
        <w:t>Postoje</w:t>
      </w:r>
      <w:r w:rsidRPr="009513BF">
        <w:rPr>
          <w:rFonts w:asciiTheme="majorHAnsi" w:hAnsiTheme="majorHAnsi" w:cs="Arial"/>
          <w:sz w:val="24"/>
          <w:szCs w:val="24"/>
          <w:lang w:val="en-US"/>
        </w:rPr>
        <w:t xml:space="preserve"> mnogobrojni rizici ostvarenja projiciranih prihoda a to su odstupanje od predviđenog ekonomskog rasta, nepredviđene promjene poreznih politika (odsustvo stabilnih koeficijenata raspodjele prihoda od indirektnih poreza i nepredviđene promjene istih i dr.), makroekonomske pretpostavke, razvoj drugih događaja (promjena nivoa zaduženosti, rad porezne administracije i dr.). Važno je istaći da povrati postaju sve izraženiji problem u posljednje vrijeme obzirom da se njihov udio u ukupnim bruto prihodima od indirektnih poreza povećava iz godine u godinu.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Federalno ministarstvo finansija je u skladu sa projekcijama makroekonomskih indikatora za 2016. godinu dostavljenim od strane Direkcije za ekonomsko planiranje BiH i projekcijama prihoda od indirektnih poreza dostavljenih od strane Odjeljenja za makroekonomsku analizu UIO BiH, izradilo projekcije prihoda i primitaka Prijedloga odluke o izmjenama i dopunama Budžeta Federacije BiH za 2016. godinu.</w:t>
      </w:r>
    </w:p>
    <w:p w:rsidR="00834D88"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Ukupni prihodi i primici u Prijedlogu odluke o izmjenama i dopunama Budžeta Federacije BiH za 2016. godinu. iznose </w:t>
      </w:r>
      <w:r w:rsidR="003E676F">
        <w:rPr>
          <w:rFonts w:asciiTheme="majorHAnsi" w:hAnsiTheme="majorHAnsi" w:cs="Arial"/>
          <w:sz w:val="24"/>
          <w:szCs w:val="24"/>
        </w:rPr>
        <w:t>2.517</w:t>
      </w:r>
      <w:r w:rsidRPr="009513BF">
        <w:rPr>
          <w:rFonts w:asciiTheme="majorHAnsi" w:hAnsiTheme="majorHAnsi" w:cs="Arial"/>
          <w:sz w:val="24"/>
          <w:szCs w:val="24"/>
        </w:rPr>
        <w:t>.</w:t>
      </w:r>
      <w:r w:rsidR="00834D88">
        <w:rPr>
          <w:rFonts w:asciiTheme="majorHAnsi" w:hAnsiTheme="majorHAnsi" w:cs="Arial"/>
          <w:sz w:val="24"/>
          <w:szCs w:val="24"/>
        </w:rPr>
        <w:t>180.917</w:t>
      </w:r>
      <w:r w:rsidRPr="009513BF">
        <w:rPr>
          <w:rFonts w:asciiTheme="majorHAnsi" w:hAnsiTheme="majorHAnsi" w:cs="Arial"/>
          <w:sz w:val="24"/>
          <w:szCs w:val="24"/>
        </w:rPr>
        <w:t>,00</w:t>
      </w:r>
      <w:r w:rsidRPr="009513BF">
        <w:rPr>
          <w:rFonts w:asciiTheme="majorHAnsi" w:hAnsiTheme="majorHAnsi" w:cs="Arial"/>
          <w:sz w:val="24"/>
          <w:szCs w:val="24"/>
          <w:lang w:val="en-US"/>
        </w:rPr>
        <w:t xml:space="preserve"> KM,</w:t>
      </w:r>
      <w:r w:rsidR="00D72233">
        <w:rPr>
          <w:rFonts w:asciiTheme="majorHAnsi" w:hAnsiTheme="majorHAnsi" w:cs="Arial"/>
          <w:sz w:val="24"/>
          <w:szCs w:val="24"/>
          <w:lang w:val="en-US"/>
        </w:rPr>
        <w:t xml:space="preserve"> što predstavlja smanjenje </w:t>
      </w:r>
      <w:r w:rsidR="003E676F">
        <w:rPr>
          <w:rFonts w:asciiTheme="majorHAnsi" w:hAnsiTheme="majorHAnsi" w:cs="Arial"/>
          <w:sz w:val="24"/>
          <w:szCs w:val="24"/>
          <w:lang w:val="en-US"/>
        </w:rPr>
        <w:t xml:space="preserve"> od 81</w:t>
      </w:r>
      <w:r w:rsidR="00834D88">
        <w:rPr>
          <w:rFonts w:asciiTheme="majorHAnsi" w:hAnsiTheme="majorHAnsi" w:cs="Arial"/>
          <w:sz w:val="24"/>
          <w:szCs w:val="24"/>
          <w:lang w:val="en-US"/>
        </w:rPr>
        <w:t>,7</w:t>
      </w:r>
      <w:r w:rsidRPr="009513BF">
        <w:rPr>
          <w:rFonts w:asciiTheme="majorHAnsi" w:hAnsiTheme="majorHAnsi" w:cs="Arial"/>
          <w:sz w:val="24"/>
          <w:szCs w:val="24"/>
          <w:lang w:val="en-US"/>
        </w:rPr>
        <w:t xml:space="preserve"> mil. KM ili 3,0%</w:t>
      </w:r>
      <w:r w:rsidR="00D72233">
        <w:rPr>
          <w:rFonts w:asciiTheme="majorHAnsi" w:hAnsiTheme="majorHAnsi" w:cs="Arial"/>
          <w:sz w:val="24"/>
          <w:szCs w:val="24"/>
          <w:lang w:val="en-US"/>
        </w:rPr>
        <w:t xml:space="preserve"> </w:t>
      </w:r>
      <w:r w:rsidRPr="009513BF">
        <w:rPr>
          <w:rFonts w:asciiTheme="majorHAnsi" w:hAnsiTheme="majorHAnsi" w:cs="Arial"/>
          <w:sz w:val="24"/>
          <w:szCs w:val="24"/>
          <w:lang w:val="en-US"/>
        </w:rPr>
        <w:t xml:space="preserve"> u odnosu na Budžet Federacije BiH za 2016. godinu.</w:t>
      </w:r>
    </w:p>
    <w:p w:rsidR="00A03F7B"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Na sljedeć</w:t>
      </w:r>
      <w:r w:rsidR="00B24F73">
        <w:rPr>
          <w:rFonts w:asciiTheme="majorHAnsi" w:hAnsiTheme="majorHAnsi" w:cs="Arial"/>
          <w:sz w:val="24"/>
          <w:szCs w:val="24"/>
          <w:lang w:val="en-US"/>
        </w:rPr>
        <w:t>em</w:t>
      </w:r>
      <w:r w:rsidR="00A03F7B">
        <w:rPr>
          <w:rFonts w:asciiTheme="majorHAnsi" w:hAnsiTheme="majorHAnsi" w:cs="Arial"/>
          <w:sz w:val="24"/>
          <w:szCs w:val="24"/>
          <w:lang w:val="en-US"/>
        </w:rPr>
        <w:t xml:space="preserve"> </w:t>
      </w:r>
      <w:r w:rsidR="00B24F73">
        <w:rPr>
          <w:rFonts w:asciiTheme="majorHAnsi" w:hAnsiTheme="majorHAnsi" w:cs="Arial"/>
          <w:sz w:val="24"/>
          <w:szCs w:val="24"/>
          <w:lang w:val="en-US"/>
        </w:rPr>
        <w:t>grafikonu</w:t>
      </w:r>
      <w:r w:rsidR="00A03F7B">
        <w:rPr>
          <w:rFonts w:asciiTheme="majorHAnsi" w:hAnsiTheme="majorHAnsi" w:cs="Arial"/>
          <w:sz w:val="24"/>
          <w:szCs w:val="24"/>
          <w:lang w:val="en-US"/>
        </w:rPr>
        <w:t xml:space="preserve"> </w:t>
      </w:r>
      <w:r w:rsidRPr="009513BF">
        <w:rPr>
          <w:rFonts w:asciiTheme="majorHAnsi" w:hAnsiTheme="majorHAnsi" w:cs="Arial"/>
          <w:sz w:val="24"/>
          <w:szCs w:val="24"/>
          <w:lang w:val="en-US"/>
        </w:rPr>
        <w:t xml:space="preserve">prikazan je uporedni prikaz promjene pojedinih prihoda i primitaka u Prijedlogu odluke o izmjenama i dopunama Budžeta Federacije BiH za </w:t>
      </w:r>
      <w:r w:rsidR="000930C3">
        <w:rPr>
          <w:rFonts w:asciiTheme="majorHAnsi" w:hAnsiTheme="majorHAnsi" w:cs="Arial"/>
          <w:sz w:val="24"/>
          <w:szCs w:val="24"/>
          <w:lang w:val="en-US"/>
        </w:rPr>
        <w:t>2016</w:t>
      </w:r>
      <w:r w:rsidR="00A03F7B">
        <w:rPr>
          <w:rFonts w:asciiTheme="majorHAnsi" w:hAnsiTheme="majorHAnsi" w:cs="Arial"/>
          <w:sz w:val="24"/>
          <w:szCs w:val="24"/>
          <w:lang w:val="en-US"/>
        </w:rPr>
        <w:t xml:space="preserve"> godinu:</w:t>
      </w:r>
      <w:r w:rsidR="000930C3">
        <w:rPr>
          <w:rFonts w:asciiTheme="majorHAnsi" w:hAnsiTheme="majorHAnsi" w:cs="Arial"/>
          <w:sz w:val="24"/>
          <w:szCs w:val="24"/>
          <w:lang w:val="en-US"/>
        </w:rPr>
        <w:t xml:space="preserve"> </w:t>
      </w:r>
    </w:p>
    <w:p w:rsidR="009513BF" w:rsidRPr="009513BF" w:rsidRDefault="003E676F" w:rsidP="009513BF">
      <w:pPr>
        <w:tabs>
          <w:tab w:val="left" w:pos="2805"/>
        </w:tabs>
        <w:spacing w:before="240" w:after="240" w:line="240" w:lineRule="auto"/>
        <w:jc w:val="center"/>
        <w:rPr>
          <w:rFonts w:asciiTheme="majorHAnsi" w:hAnsiTheme="majorHAnsi" w:cs="Arial"/>
          <w:sz w:val="24"/>
          <w:szCs w:val="24"/>
          <w:lang w:val="en-US"/>
        </w:rPr>
      </w:pPr>
      <w:r>
        <w:rPr>
          <w:lang w:eastAsia="bs-Latn-BA"/>
        </w:rPr>
        <w:drawing>
          <wp:inline distT="0" distB="0" distL="0" distR="0" wp14:anchorId="68F777E3" wp14:editId="5AD521FC">
            <wp:extent cx="5410200" cy="219075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73FDC" w:rsidRDefault="00073FDC" w:rsidP="009513BF">
      <w:pPr>
        <w:tabs>
          <w:tab w:val="left" w:pos="2805"/>
        </w:tabs>
        <w:spacing w:before="240" w:after="240" w:line="240" w:lineRule="auto"/>
        <w:jc w:val="both"/>
        <w:rPr>
          <w:rFonts w:asciiTheme="majorHAnsi" w:hAnsiTheme="majorHAnsi" w:cs="Arial"/>
          <w:sz w:val="24"/>
          <w:szCs w:val="24"/>
          <w:lang w:val="en-US"/>
        </w:rPr>
      </w:pPr>
    </w:p>
    <w:p w:rsid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lastRenderedPageBreak/>
        <w:t>U narednoj tabeli prikazana je struktura prihoda i primitaka u Prijedlogu odluke o izmjenama i dopunama Budžeta Federacije BiH za 2016. godinu., te njihova promjena u odnosu na Budžet Federacije BiH za 2016. godinu:</w:t>
      </w:r>
    </w:p>
    <w:p w:rsidR="009513BF" w:rsidRPr="009513BF" w:rsidRDefault="003E676F" w:rsidP="003E676F">
      <w:pPr>
        <w:tabs>
          <w:tab w:val="left" w:pos="2805"/>
        </w:tabs>
        <w:spacing w:before="240" w:after="240" w:line="240" w:lineRule="auto"/>
        <w:jc w:val="center"/>
        <w:rPr>
          <w:rFonts w:asciiTheme="majorHAnsi" w:hAnsiTheme="majorHAnsi" w:cs="Arial"/>
          <w:sz w:val="24"/>
          <w:szCs w:val="24"/>
          <w:lang w:val="en-US"/>
        </w:rPr>
      </w:pPr>
      <w:r w:rsidRPr="003E676F">
        <w:rPr>
          <w:lang w:eastAsia="bs-Latn-BA"/>
        </w:rPr>
        <w:drawing>
          <wp:inline distT="0" distB="0" distL="0" distR="0">
            <wp:extent cx="5619750" cy="50387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750" cy="5038725"/>
                    </a:xfrm>
                    <a:prstGeom prst="rect">
                      <a:avLst/>
                    </a:prstGeom>
                    <a:noFill/>
                    <a:ln>
                      <a:noFill/>
                    </a:ln>
                  </pic:spPr>
                </pic:pic>
              </a:graphicData>
            </a:graphic>
          </wp:inline>
        </w:drawing>
      </w:r>
    </w:p>
    <w:p w:rsidR="00AD292F" w:rsidRDefault="00AD292F" w:rsidP="009513BF">
      <w:pPr>
        <w:spacing w:before="240" w:after="240" w:line="240" w:lineRule="auto"/>
        <w:jc w:val="both"/>
        <w:rPr>
          <w:rFonts w:asciiTheme="majorHAnsi" w:hAnsiTheme="majorHAnsi" w:cs="Arial"/>
          <w:b/>
          <w:sz w:val="24"/>
          <w:szCs w:val="24"/>
        </w:rPr>
      </w:pP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4</w:t>
      </w:r>
      <w:r w:rsidR="009513BF" w:rsidRPr="009513BF">
        <w:rPr>
          <w:rFonts w:asciiTheme="majorHAnsi" w:hAnsiTheme="majorHAnsi" w:cs="Arial"/>
          <w:b/>
          <w:sz w:val="24"/>
          <w:szCs w:val="24"/>
        </w:rPr>
        <w:t>.1. STRUKTURA PRIHODA I PRIMITAKA</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Prihodi od poreza</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Ukupni prihodi od poreza projicirani u Prijedlogu odluke o izmjenama i dopunama Budžeta Federacije BiH </w:t>
      </w:r>
      <w:r w:rsidR="005309F7">
        <w:rPr>
          <w:rFonts w:asciiTheme="majorHAnsi" w:hAnsiTheme="majorHAnsi" w:cs="Arial"/>
          <w:sz w:val="24"/>
          <w:szCs w:val="24"/>
          <w:lang w:val="en-US"/>
        </w:rPr>
        <w:t xml:space="preserve">za 2016. godinu. iznose 1.451.011.989,00 </w:t>
      </w:r>
      <w:r w:rsidRPr="009513BF">
        <w:rPr>
          <w:rFonts w:asciiTheme="majorHAnsi" w:hAnsiTheme="majorHAnsi" w:cs="Arial"/>
          <w:sz w:val="24"/>
          <w:szCs w:val="24"/>
          <w:lang w:val="en-US"/>
        </w:rPr>
        <w:t xml:space="preserve"> KM i u odnosu na prethodni budžet veći su za 10,4 mil. KM ili 0,7%.</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Prihode od poreza čine prihodi od poreza na dobit pojedinaca i preduzeća i prihodi od indirektnih poreza sa jedinstvenog računa Uprave za indirektno oporezivanje BiH.</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lastRenderedPageBreak/>
        <w:t>Prihod od poreza na dobit pojedinaca i preduz</w:t>
      </w:r>
      <w:r w:rsidR="003E676F">
        <w:rPr>
          <w:rFonts w:asciiTheme="majorHAnsi" w:hAnsiTheme="majorHAnsi" w:cs="Arial"/>
          <w:sz w:val="24"/>
          <w:szCs w:val="24"/>
          <w:lang w:val="en-US"/>
        </w:rPr>
        <w:t>eća planiran je u iznosu od 55,1 mil. KM</w:t>
      </w:r>
      <w:r w:rsidRPr="009513BF">
        <w:rPr>
          <w:rFonts w:asciiTheme="majorHAnsi" w:hAnsiTheme="majorHAnsi" w:cs="Arial"/>
          <w:sz w:val="24"/>
          <w:szCs w:val="24"/>
          <w:lang w:val="en-US"/>
        </w:rPr>
        <w:t>, što je za 10,4 mil. KM ili 23,3% više u odnosu na iznos u Budžetu Federacije BiH za 2016. godinu.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Prihodi od indirektnih poreza prikupljaju se na Jedinstvenom računu Uprave za indirektno oporezivanje BiH i obuhvataju PDV, carine, akcize, naknade za ceste i ostale prihode i dadžbine. Na osnovu revidiranih projekcija prihoda od indirektnih poreza, dostavljenih od strane Odjeljenja za makroekonomsku analizu Uprave za indirektno oporezivanje BiH, Prijedlogom odluke o izmjenama i dopunama Budžeta Federacije BiH za 2016. godinu. bruto i neto prihodi od indirektnih poreza planirani su u istom iznosu kao i Budžetom Federacije BiH za 2016. godinu. </w:t>
      </w:r>
      <w:r w:rsidRPr="009513BF">
        <w:rPr>
          <w:rFonts w:asciiTheme="majorHAnsi" w:hAnsiTheme="majorHAnsi" w:cs="Arial"/>
          <w:sz w:val="24"/>
          <w:szCs w:val="24"/>
        </w:rPr>
        <w:t>Projekcije prihoda od indirektnih poreza usko su vezane za projekcije makroekonomskih pokazatelja, te svako odstupanje od projektiranih vrijednosti predstavlja rizik za projekcije prihoda. Usporavanje ekonomskog oporavka glavnih izvoznih partnera BiH (EU, zemlje CEFTA) povećava nivo rizika za ostvarenje makroekonomskih projekcija, a time i projekcija prihoda od indirektnih poreza u cjelini. Strategija postepenog usklađivanja stopa akcize na cigarete sa minimalnom stopom u EU trebala bi doprinijeti da se zacrtani standardi EU postignu bez većih negativnih makroekonomskih implikacija po opći nivo cijena, funkcioniranje tržišta i poresku evaziju.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Ostali porezi planirani </w:t>
      </w:r>
      <w:r w:rsidR="006E0852">
        <w:rPr>
          <w:rFonts w:asciiTheme="majorHAnsi" w:hAnsiTheme="majorHAnsi" w:cs="Arial"/>
          <w:sz w:val="24"/>
          <w:szCs w:val="24"/>
          <w:lang w:val="en-US"/>
        </w:rPr>
        <w:t xml:space="preserve">su u iznosu od 0,3 mil. KM I predstavljaju neznatno povećanje </w:t>
      </w:r>
      <w:r w:rsidRPr="009513BF">
        <w:rPr>
          <w:rFonts w:asciiTheme="majorHAnsi" w:hAnsiTheme="majorHAnsi" w:cs="Arial"/>
          <w:sz w:val="24"/>
          <w:szCs w:val="24"/>
          <w:lang w:val="en-US"/>
        </w:rPr>
        <w:t xml:space="preserve"> u odnosu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Neporezni prihodi</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Neporezni prihod</w:t>
      </w:r>
      <w:r w:rsidR="003E676F">
        <w:rPr>
          <w:rFonts w:asciiTheme="majorHAnsi" w:hAnsiTheme="majorHAnsi" w:cs="Arial"/>
          <w:sz w:val="24"/>
          <w:szCs w:val="24"/>
          <w:lang w:val="en-US"/>
        </w:rPr>
        <w:t>i planirani su u iznosu od 473,5 mil. KM, što je za 27</w:t>
      </w:r>
      <w:r w:rsidR="00834D88">
        <w:rPr>
          <w:rFonts w:asciiTheme="majorHAnsi" w:hAnsiTheme="majorHAnsi" w:cs="Arial"/>
          <w:sz w:val="24"/>
          <w:szCs w:val="24"/>
          <w:lang w:val="en-US"/>
        </w:rPr>
        <w:t>,2</w:t>
      </w:r>
      <w:r w:rsidR="003E676F">
        <w:rPr>
          <w:rFonts w:asciiTheme="majorHAnsi" w:hAnsiTheme="majorHAnsi" w:cs="Arial"/>
          <w:sz w:val="24"/>
          <w:szCs w:val="24"/>
          <w:lang w:val="en-US"/>
        </w:rPr>
        <w:t xml:space="preserve"> mil. KM ili 6</w:t>
      </w:r>
      <w:r w:rsidRPr="009513BF">
        <w:rPr>
          <w:rFonts w:asciiTheme="majorHAnsi" w:hAnsiTheme="majorHAnsi" w:cs="Arial"/>
          <w:sz w:val="24"/>
          <w:szCs w:val="24"/>
          <w:lang w:val="en-US"/>
        </w:rPr>
        <w:t xml:space="preserve">% </w:t>
      </w:r>
      <w:r w:rsidR="00834D88">
        <w:rPr>
          <w:rFonts w:asciiTheme="majorHAnsi" w:hAnsiTheme="majorHAnsi" w:cs="Arial"/>
          <w:sz w:val="24"/>
          <w:szCs w:val="24"/>
          <w:lang w:val="en-US"/>
        </w:rPr>
        <w:t>više</w:t>
      </w:r>
      <w:r w:rsidRPr="009513BF">
        <w:rPr>
          <w:rFonts w:asciiTheme="majorHAnsi" w:hAnsiTheme="majorHAnsi" w:cs="Arial"/>
          <w:sz w:val="24"/>
          <w:szCs w:val="24"/>
          <w:lang w:val="en-US"/>
        </w:rPr>
        <w:t xml:space="preserve"> u odnosu na Budžet Federacije BiH za 2016. godinu.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Neporezni prihodi obuhvataju prihode od poduzetničkih aktivnosti i imovine i prihode od pozitivnih kursnih razlika, naknade i takse i prihode od pružanja javnih usluga, te novčane kazne.</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Prijedlogom odluke o izmjenama i dopunama Budžeta Federacije BiH za 2016. godinu, prihodi od poduzetničkih aktivnosti i imovine i prihodi od pozitivnih kursnih raz</w:t>
      </w:r>
      <w:r w:rsidR="00834D88">
        <w:rPr>
          <w:rFonts w:asciiTheme="majorHAnsi" w:hAnsiTheme="majorHAnsi" w:cs="Arial"/>
          <w:sz w:val="24"/>
          <w:szCs w:val="24"/>
          <w:lang w:val="en-US"/>
        </w:rPr>
        <w:t>l</w:t>
      </w:r>
      <w:r w:rsidR="003E676F">
        <w:rPr>
          <w:rFonts w:asciiTheme="majorHAnsi" w:hAnsiTheme="majorHAnsi" w:cs="Arial"/>
          <w:sz w:val="24"/>
          <w:szCs w:val="24"/>
          <w:lang w:val="en-US"/>
        </w:rPr>
        <w:t>ika planirani su u iznosu od 361</w:t>
      </w:r>
      <w:r w:rsidR="00834D88">
        <w:rPr>
          <w:rFonts w:asciiTheme="majorHAnsi" w:hAnsiTheme="majorHAnsi" w:cs="Arial"/>
          <w:sz w:val="24"/>
          <w:szCs w:val="24"/>
          <w:lang w:val="en-US"/>
        </w:rPr>
        <w:t>,8</w:t>
      </w:r>
      <w:r w:rsidRPr="009513BF">
        <w:rPr>
          <w:rFonts w:asciiTheme="majorHAnsi" w:hAnsiTheme="majorHAnsi" w:cs="Arial"/>
          <w:sz w:val="24"/>
          <w:szCs w:val="24"/>
          <w:lang w:val="en-US"/>
        </w:rPr>
        <w:t xml:space="preserve"> mil. KM, što predstavlja </w:t>
      </w:r>
      <w:r w:rsidR="003E676F">
        <w:rPr>
          <w:rFonts w:asciiTheme="majorHAnsi" w:hAnsiTheme="majorHAnsi" w:cs="Arial"/>
          <w:sz w:val="24"/>
          <w:szCs w:val="24"/>
          <w:lang w:val="en-US"/>
        </w:rPr>
        <w:t>povećanje od 33</w:t>
      </w:r>
      <w:r w:rsidRPr="009513BF">
        <w:rPr>
          <w:rFonts w:asciiTheme="majorHAnsi" w:hAnsiTheme="majorHAnsi" w:cs="Arial"/>
          <w:sz w:val="24"/>
          <w:szCs w:val="24"/>
          <w:lang w:val="en-US"/>
        </w:rPr>
        <w:t>,1 mil. KM u odnosu na 2016. godinu, a obuhvataju sljedeće prihode:</w:t>
      </w:r>
    </w:p>
    <w:p w:rsidR="009513BF" w:rsidRPr="009513BF" w:rsidRDefault="009513BF" w:rsidP="009513BF">
      <w:pPr>
        <w:pStyle w:val="ListParagraph"/>
        <w:numPr>
          <w:ilvl w:val="0"/>
          <w:numId w:val="12"/>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Prihodi od nefinansijskih javnih preduzeća i finansijskih</w:t>
      </w:r>
      <w:r w:rsidR="00834D88">
        <w:rPr>
          <w:rFonts w:asciiTheme="majorHAnsi" w:hAnsiTheme="majorHAnsi" w:cs="Arial"/>
          <w:sz w:val="24"/>
          <w:szCs w:val="24"/>
          <w:lang w:val="en-US"/>
        </w:rPr>
        <w:t xml:space="preserve"> javnih institu</w:t>
      </w:r>
      <w:r w:rsidR="003E676F">
        <w:rPr>
          <w:rFonts w:asciiTheme="majorHAnsi" w:hAnsiTheme="majorHAnsi" w:cs="Arial"/>
          <w:sz w:val="24"/>
          <w:szCs w:val="24"/>
          <w:lang w:val="en-US"/>
        </w:rPr>
        <w:t>cija iznose 290</w:t>
      </w:r>
      <w:r w:rsidR="00834D88">
        <w:rPr>
          <w:rFonts w:asciiTheme="majorHAnsi" w:hAnsiTheme="majorHAnsi" w:cs="Arial"/>
          <w:sz w:val="24"/>
          <w:szCs w:val="24"/>
          <w:lang w:val="en-US"/>
        </w:rPr>
        <w:t>,8</w:t>
      </w:r>
      <w:r w:rsidRPr="009513BF">
        <w:rPr>
          <w:rFonts w:asciiTheme="majorHAnsi" w:hAnsiTheme="majorHAnsi" w:cs="Arial"/>
          <w:sz w:val="24"/>
          <w:szCs w:val="24"/>
          <w:lang w:val="en-US"/>
        </w:rPr>
        <w:t xml:space="preserve"> mil. KM i </w:t>
      </w:r>
      <w:r w:rsidR="003E676F">
        <w:rPr>
          <w:rFonts w:asciiTheme="majorHAnsi" w:hAnsiTheme="majorHAnsi" w:cs="Arial"/>
          <w:sz w:val="24"/>
          <w:szCs w:val="24"/>
          <w:lang w:val="en-US"/>
        </w:rPr>
        <w:t>veći su za 32</w:t>
      </w:r>
      <w:r w:rsidR="00834D88">
        <w:rPr>
          <w:rFonts w:asciiTheme="majorHAnsi" w:hAnsiTheme="majorHAnsi" w:cs="Arial"/>
          <w:sz w:val="24"/>
          <w:szCs w:val="24"/>
          <w:lang w:val="en-US"/>
        </w:rPr>
        <w:t>,9</w:t>
      </w:r>
      <w:r w:rsidRPr="009513BF">
        <w:rPr>
          <w:rFonts w:asciiTheme="majorHAnsi" w:hAnsiTheme="majorHAnsi" w:cs="Arial"/>
          <w:sz w:val="24"/>
          <w:szCs w:val="24"/>
          <w:lang w:val="en-US"/>
        </w:rPr>
        <w:t xml:space="preserve"> mil. KM u odnosu na prethodni Budžet.</w:t>
      </w:r>
    </w:p>
    <w:p w:rsidR="009513BF" w:rsidRPr="009513BF" w:rsidRDefault="009513BF" w:rsidP="009513BF">
      <w:pPr>
        <w:pStyle w:val="ListParagraph"/>
        <w:numPr>
          <w:ilvl w:val="0"/>
          <w:numId w:val="12"/>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Ostali prihodi od imovine iznose 5,5 mil. KM.</w:t>
      </w:r>
    </w:p>
    <w:p w:rsidR="009513BF" w:rsidRPr="009513BF" w:rsidRDefault="009513BF" w:rsidP="009513BF">
      <w:pPr>
        <w:pStyle w:val="ListParagraph"/>
        <w:numPr>
          <w:ilvl w:val="0"/>
          <w:numId w:val="12"/>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Prihodi od privatizacije su ostali na nivou Budžeta Federacije BiH za 2016. godinu.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Naknade i takse i prihodi od pružanja javnih usluga planirane su u iznosu od </w:t>
      </w:r>
      <w:r w:rsidR="00834D88">
        <w:rPr>
          <w:rFonts w:asciiTheme="majorHAnsi" w:hAnsiTheme="majorHAnsi" w:cs="Arial"/>
          <w:sz w:val="24"/>
          <w:szCs w:val="24"/>
          <w:lang w:val="en-US"/>
        </w:rPr>
        <w:t>96,4</w:t>
      </w:r>
      <w:r w:rsidRPr="009513BF">
        <w:rPr>
          <w:rFonts w:asciiTheme="majorHAnsi" w:hAnsiTheme="majorHAnsi" w:cs="Arial"/>
          <w:sz w:val="24"/>
          <w:szCs w:val="24"/>
          <w:lang w:val="en-US"/>
        </w:rPr>
        <w:t xml:space="preserve"> mil. KM, i u odnosu na Budžet Federacije B</w:t>
      </w:r>
      <w:r w:rsidR="00834D88">
        <w:rPr>
          <w:rFonts w:asciiTheme="majorHAnsi" w:hAnsiTheme="majorHAnsi" w:cs="Arial"/>
          <w:sz w:val="24"/>
          <w:szCs w:val="24"/>
          <w:lang w:val="en-US"/>
        </w:rPr>
        <w:t>iH za 2016. godinu manji su za 7,5</w:t>
      </w:r>
      <w:r w:rsidRPr="009513BF">
        <w:rPr>
          <w:rFonts w:asciiTheme="majorHAnsi" w:hAnsiTheme="majorHAnsi" w:cs="Arial"/>
          <w:sz w:val="24"/>
          <w:szCs w:val="24"/>
          <w:lang w:val="en-US"/>
        </w:rPr>
        <w:t xml:space="preserve"> mil. KM.</w:t>
      </w:r>
    </w:p>
    <w:p w:rsidR="001D6EC3" w:rsidRDefault="009513BF" w:rsidP="001D6EC3">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U Prijedlogu odluke o izmjenama i dopunama Budžeta Federacije BiH za 2016. godinu novčane kazne planirane su u iznosu od 15,3 mil. KM što je za 1,6 mil. KM više u odnosu na Budžet Federacije BiH za 2016. godinu.</w:t>
      </w:r>
    </w:p>
    <w:p w:rsidR="009513BF" w:rsidRPr="009513BF" w:rsidRDefault="009513BF" w:rsidP="001D6EC3">
      <w:pPr>
        <w:tabs>
          <w:tab w:val="left" w:pos="2805"/>
        </w:tabs>
        <w:spacing w:before="240" w:after="240" w:line="240" w:lineRule="auto"/>
        <w:jc w:val="both"/>
        <w:rPr>
          <w:rFonts w:asciiTheme="majorHAnsi" w:hAnsiTheme="majorHAnsi" w:cs="Arial"/>
          <w:b/>
          <w:sz w:val="24"/>
          <w:szCs w:val="24"/>
        </w:rPr>
      </w:pPr>
      <w:r w:rsidRPr="009513BF">
        <w:rPr>
          <w:rFonts w:asciiTheme="majorHAnsi" w:hAnsiTheme="majorHAnsi" w:cs="Arial"/>
          <w:b/>
          <w:sz w:val="24"/>
          <w:szCs w:val="24"/>
        </w:rPr>
        <w:lastRenderedPageBreak/>
        <w:t>Tekući transferi (transferi i donacije)</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Tekući transferi koji obuhvataju primljene tekuće transfere od ostalih nivoa vlasti su planirani u iznosu od 0,04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Primici</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U okviru primitaka planirano je sljedeće:</w:t>
      </w:r>
    </w:p>
    <w:p w:rsidR="009513BF" w:rsidRPr="009513BF" w:rsidRDefault="009513BF" w:rsidP="009513BF">
      <w:pPr>
        <w:pStyle w:val="ListParagraph"/>
        <w:numPr>
          <w:ilvl w:val="0"/>
          <w:numId w:val="3"/>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Kapitalni primici od prodaje stalnih sredstava u iznosu od 0,04 mil. KM;</w:t>
      </w:r>
    </w:p>
    <w:p w:rsidR="009513BF" w:rsidRPr="009513BF" w:rsidRDefault="009513BF" w:rsidP="009513BF">
      <w:pPr>
        <w:pStyle w:val="ListParagraph"/>
        <w:numPr>
          <w:ilvl w:val="0"/>
          <w:numId w:val="3"/>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Dugoročni zajmovi primljeni kroz Državu u iznosu od 102,6 mil. KM;</w:t>
      </w:r>
    </w:p>
    <w:p w:rsidR="009513BF" w:rsidRPr="009513BF" w:rsidRDefault="009513BF" w:rsidP="009513BF">
      <w:pPr>
        <w:pStyle w:val="ListParagraph"/>
        <w:numPr>
          <w:ilvl w:val="0"/>
          <w:numId w:val="3"/>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Dugoročni primici od domaćeg zaduživanja u iznosu od 140,0 mil. KM i</w:t>
      </w:r>
    </w:p>
    <w:p w:rsidR="009513BF" w:rsidRPr="009513BF" w:rsidRDefault="009513BF" w:rsidP="009513BF">
      <w:pPr>
        <w:pStyle w:val="ListParagraph"/>
        <w:numPr>
          <w:ilvl w:val="0"/>
          <w:numId w:val="3"/>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Kratkoročni primici od domaćeg </w:t>
      </w:r>
      <w:r w:rsidR="00834D88">
        <w:rPr>
          <w:rFonts w:asciiTheme="majorHAnsi" w:hAnsiTheme="majorHAnsi" w:cs="Arial"/>
          <w:sz w:val="24"/>
          <w:szCs w:val="24"/>
          <w:lang w:val="en-US"/>
        </w:rPr>
        <w:t>zaduživanja u iznosu od 35</w:t>
      </w:r>
      <w:r w:rsidR="006E0852">
        <w:rPr>
          <w:rFonts w:asciiTheme="majorHAnsi" w:hAnsiTheme="majorHAnsi" w:cs="Arial"/>
          <w:sz w:val="24"/>
          <w:szCs w:val="24"/>
          <w:lang w:val="en-US"/>
        </w:rPr>
        <w:t xml:space="preserve">0,0 mil. KM, što je manje za 10,00 mil. KM u odnosu na </w:t>
      </w:r>
      <w:r w:rsidR="003E676F">
        <w:rPr>
          <w:rFonts w:asciiTheme="majorHAnsi" w:hAnsiTheme="majorHAnsi" w:cs="Arial"/>
          <w:sz w:val="24"/>
          <w:szCs w:val="24"/>
          <w:lang w:val="en-US"/>
        </w:rPr>
        <w:t>planirani Budžet FBiH za 2016. g</w:t>
      </w:r>
      <w:r w:rsidR="006E0852">
        <w:rPr>
          <w:rFonts w:asciiTheme="majorHAnsi" w:hAnsiTheme="majorHAnsi" w:cs="Arial"/>
          <w:sz w:val="24"/>
          <w:szCs w:val="24"/>
          <w:lang w:val="en-US"/>
        </w:rPr>
        <w:t>odinu.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Na </w:t>
      </w:r>
      <w:r w:rsidR="003E676F">
        <w:rPr>
          <w:rFonts w:asciiTheme="majorHAnsi" w:hAnsiTheme="majorHAnsi" w:cs="Arial"/>
          <w:sz w:val="24"/>
          <w:szCs w:val="24"/>
          <w:lang w:val="en-US"/>
        </w:rPr>
        <w:t>sljedećem</w:t>
      </w:r>
      <w:r w:rsidRPr="009513BF">
        <w:rPr>
          <w:rFonts w:asciiTheme="majorHAnsi" w:hAnsiTheme="majorHAnsi" w:cs="Arial"/>
          <w:sz w:val="24"/>
          <w:szCs w:val="24"/>
          <w:lang w:val="en-US"/>
        </w:rPr>
        <w:t xml:space="preserve"> grafikonu prikazano je učešće pojedinih prihoda i primitaka u Izmjenama i dopunama Budžeta Federacije BiH za 2016. godinu: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p>
    <w:p w:rsidR="009513BF" w:rsidRDefault="003E676F" w:rsidP="003E676F">
      <w:pPr>
        <w:tabs>
          <w:tab w:val="left" w:pos="2805"/>
        </w:tabs>
        <w:spacing w:before="240" w:after="240" w:line="240" w:lineRule="auto"/>
        <w:jc w:val="center"/>
        <w:rPr>
          <w:rFonts w:ascii="Arial" w:hAnsi="Arial" w:cs="Arial"/>
          <w:sz w:val="24"/>
          <w:szCs w:val="24"/>
          <w:lang w:val="en-US"/>
        </w:rPr>
      </w:pPr>
      <w:r>
        <w:rPr>
          <w:lang w:eastAsia="bs-Latn-BA"/>
        </w:rPr>
        <w:drawing>
          <wp:inline distT="0" distB="0" distL="0" distR="0" wp14:anchorId="6B566F13" wp14:editId="2CF671BD">
            <wp:extent cx="5400676" cy="4038600"/>
            <wp:effectExtent l="0" t="0" r="0" b="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513BF" w:rsidRPr="00324DF7" w:rsidRDefault="009513BF" w:rsidP="009513BF">
      <w:pPr>
        <w:tabs>
          <w:tab w:val="left" w:pos="2805"/>
        </w:tabs>
        <w:spacing w:before="240" w:after="240" w:line="240" w:lineRule="auto"/>
        <w:jc w:val="center"/>
        <w:rPr>
          <w:rFonts w:ascii="Arial" w:hAnsi="Arial" w:cs="Arial"/>
          <w:sz w:val="24"/>
          <w:szCs w:val="24"/>
          <w:lang w:val="en-US"/>
        </w:rPr>
      </w:pPr>
    </w:p>
    <w:tbl>
      <w:tblPr>
        <w:tblpPr w:leftFromText="180" w:rightFromText="180" w:vertAnchor="text" w:horzAnchor="margin" w:tblpY="-306"/>
        <w:tblW w:w="5186" w:type="pct"/>
        <w:tblCellMar>
          <w:left w:w="360" w:type="dxa"/>
          <w:right w:w="360" w:type="dxa"/>
        </w:tblCellMar>
        <w:tblLook w:val="04A0" w:firstRow="1" w:lastRow="0" w:firstColumn="1" w:lastColumn="0" w:noHBand="0" w:noVBand="1"/>
      </w:tblPr>
      <w:tblGrid>
        <w:gridCol w:w="1134"/>
        <w:gridCol w:w="8574"/>
      </w:tblGrid>
      <w:tr w:rsidR="009513BF" w:rsidTr="00C26CF4">
        <w:trPr>
          <w:trHeight w:val="757"/>
        </w:trPr>
        <w:tc>
          <w:tcPr>
            <w:tcW w:w="584" w:type="pct"/>
            <w:shd w:val="clear" w:color="auto" w:fill="4F6228" w:themeFill="accent3" w:themeFillShade="80"/>
            <w:vAlign w:val="center"/>
          </w:tcPr>
          <w:p w:rsidR="009513BF" w:rsidRPr="009513BF" w:rsidRDefault="009539DA" w:rsidP="00C26CF4">
            <w:pPr>
              <w:pStyle w:val="NoSpacing"/>
              <w:jc w:val="center"/>
              <w:rPr>
                <w:rFonts w:asciiTheme="majorHAnsi" w:hAnsiTheme="majorHAnsi"/>
                <w:b/>
                <w:smallCaps/>
                <w:color w:val="FFFFFF" w:themeColor="background1"/>
                <w:sz w:val="24"/>
                <w:szCs w:val="24"/>
              </w:rPr>
            </w:pPr>
            <w:r>
              <w:rPr>
                <w:rFonts w:asciiTheme="majorHAnsi" w:hAnsiTheme="majorHAnsi"/>
                <w:b/>
                <w:smallCaps/>
                <w:color w:val="FFFFFF" w:themeColor="background1"/>
                <w:sz w:val="32"/>
                <w:szCs w:val="24"/>
              </w:rPr>
              <w:lastRenderedPageBreak/>
              <w:t>5</w:t>
            </w:r>
            <w:r w:rsidR="009513BF" w:rsidRPr="009513BF">
              <w:rPr>
                <w:rFonts w:asciiTheme="majorHAnsi" w:hAnsiTheme="majorHAnsi"/>
                <w:b/>
                <w:smallCaps/>
                <w:color w:val="FFFFFF" w:themeColor="background1"/>
                <w:sz w:val="32"/>
                <w:szCs w:val="24"/>
              </w:rPr>
              <w:t>.</w:t>
            </w:r>
          </w:p>
        </w:tc>
        <w:tc>
          <w:tcPr>
            <w:tcW w:w="4416" w:type="pct"/>
            <w:shd w:val="clear" w:color="auto" w:fill="C2D69B" w:themeFill="accent3" w:themeFillTint="99"/>
            <w:vAlign w:val="center"/>
          </w:tcPr>
          <w:p w:rsidR="009513BF" w:rsidRPr="009513BF" w:rsidRDefault="009513BF" w:rsidP="00C26CF4">
            <w:pPr>
              <w:pStyle w:val="NoSpacing"/>
              <w:rPr>
                <w:rFonts w:asciiTheme="majorHAnsi" w:hAnsiTheme="majorHAnsi"/>
                <w:b/>
                <w:smallCaps/>
                <w:color w:val="FFFFFF" w:themeColor="background1"/>
                <w:sz w:val="28"/>
                <w:szCs w:val="28"/>
                <w:lang w:val="de-DE"/>
              </w:rPr>
            </w:pPr>
            <w:r w:rsidRPr="009513BF">
              <w:rPr>
                <w:rFonts w:asciiTheme="majorHAnsi" w:hAnsiTheme="majorHAnsi"/>
                <w:b/>
                <w:smallCaps/>
                <w:sz w:val="32"/>
                <w:szCs w:val="28"/>
                <w:lang w:val="de-DE"/>
              </w:rPr>
              <w:t>RASHODI I IZDACI</w:t>
            </w:r>
          </w:p>
        </w:tc>
      </w:tr>
    </w:tbl>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lastRenderedPageBreak/>
        <w:t xml:space="preserve">Ukupni rashodi i izdaci u Prijedlogu odluke o izmjenama i dopunama Budžeta Federacije BiH za 2016. godinu iznose </w:t>
      </w:r>
      <w:r w:rsidR="00B14331">
        <w:rPr>
          <w:rFonts w:asciiTheme="majorHAnsi" w:hAnsiTheme="majorHAnsi" w:cs="Arial"/>
          <w:sz w:val="24"/>
          <w:szCs w:val="24"/>
        </w:rPr>
        <w:t>2.517</w:t>
      </w:r>
      <w:r w:rsidR="00834D88">
        <w:rPr>
          <w:rFonts w:asciiTheme="majorHAnsi" w:hAnsiTheme="majorHAnsi" w:cs="Arial"/>
          <w:sz w:val="24"/>
          <w:szCs w:val="24"/>
        </w:rPr>
        <w:t>.180.917</w:t>
      </w:r>
      <w:r w:rsidRPr="009513BF">
        <w:rPr>
          <w:rFonts w:asciiTheme="majorHAnsi" w:hAnsiTheme="majorHAnsi" w:cs="Arial"/>
          <w:sz w:val="24"/>
          <w:szCs w:val="24"/>
        </w:rPr>
        <w:t>,00</w:t>
      </w:r>
      <w:r w:rsidRPr="009513BF">
        <w:rPr>
          <w:rFonts w:asciiTheme="majorHAnsi" w:hAnsiTheme="majorHAnsi" w:cs="Arial"/>
          <w:sz w:val="24"/>
          <w:szCs w:val="24"/>
          <w:lang w:val="en-US"/>
        </w:rPr>
        <w:t xml:space="preserve"> KM,</w:t>
      </w:r>
      <w:r w:rsidR="00834D88">
        <w:rPr>
          <w:rFonts w:asciiTheme="majorHAnsi" w:hAnsiTheme="majorHAnsi" w:cs="Arial"/>
          <w:sz w:val="24"/>
          <w:szCs w:val="24"/>
          <w:lang w:val="en-US"/>
        </w:rPr>
        <w:t xml:space="preserve"> što predstavlja smanjenje od 85,7</w:t>
      </w:r>
      <w:r w:rsidRPr="009513BF">
        <w:rPr>
          <w:rFonts w:asciiTheme="majorHAnsi" w:hAnsiTheme="majorHAnsi" w:cs="Arial"/>
          <w:sz w:val="24"/>
          <w:szCs w:val="24"/>
          <w:lang w:val="en-US"/>
        </w:rPr>
        <w:t xml:space="preserve"> mil. KM ili 3,0% u odnosu na Budžet Federacije BiH za 2016. godinu.</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Kao prethodnih godina, i tokom 2016. godine fiskalna politika Vlade Federacije BiH bit će orijentisana na aktivnosti koje će doprinijeti ekonomskom i socijalnom jačanju Federacije BiH. U tom kontekstu se nastavlja ograničavanje budžetske potrošnje u 2016. godini kroz oštre mjere štednje u svim segmentima javne potrošnje:</w:t>
      </w:r>
    </w:p>
    <w:p w:rsidR="009513BF" w:rsidRPr="009513BF" w:rsidRDefault="009513BF" w:rsidP="009513BF">
      <w:pPr>
        <w:pStyle w:val="ListParagraph"/>
        <w:numPr>
          <w:ilvl w:val="0"/>
          <w:numId w:val="13"/>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Ograničavanje javne potrošnje na izdatke za materijal i usluge nastavlja se i u 2016. godini;</w:t>
      </w:r>
    </w:p>
    <w:p w:rsidR="009513BF" w:rsidRPr="009513BF" w:rsidRDefault="009513BF" w:rsidP="009513BF">
      <w:pPr>
        <w:pStyle w:val="ListParagraph"/>
        <w:numPr>
          <w:ilvl w:val="0"/>
          <w:numId w:val="13"/>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Planirana javna potrošnja za nabavku opreme svedena je na minimalan nivo, odnosno nabavka nove opreme planirana je u iznosu koji bi mogao biti dovoljan u slučaju nepredviđenih okolnosti, odnosno iznenadnog kvara i sl.;</w:t>
      </w:r>
    </w:p>
    <w:p w:rsidR="009513BF" w:rsidRPr="009513BF" w:rsidRDefault="009513BF" w:rsidP="009513BF">
      <w:pPr>
        <w:pStyle w:val="ListParagraph"/>
        <w:numPr>
          <w:ilvl w:val="0"/>
          <w:numId w:val="13"/>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Održavanje ciljanog budžetskog deficita u iznosu od 2,5% GDP-a u 2016. godini.</w:t>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U narednoj tabeli prikazana je struktura rashoda i izdataka u Prijedlogu odluke o izmjenama i dopunama Budžeta Federacije BiH za 2016. godinu, te njihova promjena u odnosu na Budžet Federacije BiH za 2016. godinu:</w:t>
      </w:r>
    </w:p>
    <w:p w:rsidR="009513BF" w:rsidRPr="009513BF" w:rsidRDefault="00B14331" w:rsidP="009513BF">
      <w:pPr>
        <w:tabs>
          <w:tab w:val="left" w:pos="2805"/>
        </w:tabs>
        <w:spacing w:before="240" w:after="240" w:line="240" w:lineRule="auto"/>
        <w:jc w:val="center"/>
        <w:rPr>
          <w:rFonts w:asciiTheme="majorHAnsi" w:hAnsiTheme="majorHAnsi" w:cs="Arial"/>
          <w:sz w:val="24"/>
          <w:szCs w:val="24"/>
          <w:lang w:val="en-US"/>
        </w:rPr>
      </w:pPr>
      <w:r w:rsidRPr="00B14331">
        <w:rPr>
          <w:lang w:eastAsia="bs-Latn-BA"/>
        </w:rPr>
        <w:drawing>
          <wp:inline distT="0" distB="0" distL="0" distR="0">
            <wp:extent cx="5534025" cy="30861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5" cy="3086100"/>
                    </a:xfrm>
                    <a:prstGeom prst="rect">
                      <a:avLst/>
                    </a:prstGeom>
                    <a:noFill/>
                    <a:ln>
                      <a:noFill/>
                    </a:ln>
                  </pic:spPr>
                </pic:pic>
              </a:graphicData>
            </a:graphic>
          </wp:inline>
        </w:drawing>
      </w:r>
    </w:p>
    <w:p w:rsidR="009513BF" w:rsidRDefault="009513BF" w:rsidP="009513BF">
      <w:pPr>
        <w:tabs>
          <w:tab w:val="left" w:pos="2805"/>
        </w:tabs>
        <w:spacing w:before="240" w:after="240" w:line="240" w:lineRule="auto"/>
        <w:jc w:val="center"/>
        <w:rPr>
          <w:rFonts w:asciiTheme="majorHAnsi" w:hAnsiTheme="majorHAnsi" w:cs="Arial"/>
          <w:sz w:val="24"/>
          <w:szCs w:val="24"/>
          <w:lang w:val="en-US"/>
        </w:rPr>
      </w:pPr>
    </w:p>
    <w:p w:rsidR="00B14331" w:rsidRDefault="00B14331" w:rsidP="009513BF">
      <w:pPr>
        <w:tabs>
          <w:tab w:val="left" w:pos="2805"/>
        </w:tabs>
        <w:spacing w:before="240" w:after="240" w:line="240" w:lineRule="auto"/>
        <w:jc w:val="center"/>
        <w:rPr>
          <w:rFonts w:asciiTheme="majorHAnsi" w:hAnsiTheme="majorHAnsi" w:cs="Arial"/>
          <w:sz w:val="24"/>
          <w:szCs w:val="24"/>
          <w:lang w:val="en-US"/>
        </w:rPr>
      </w:pPr>
    </w:p>
    <w:p w:rsidR="00B14331" w:rsidRPr="009513BF" w:rsidRDefault="00B14331" w:rsidP="009513BF">
      <w:pPr>
        <w:tabs>
          <w:tab w:val="left" w:pos="2805"/>
        </w:tabs>
        <w:spacing w:before="240" w:after="240" w:line="240" w:lineRule="auto"/>
        <w:jc w:val="center"/>
        <w:rPr>
          <w:rFonts w:asciiTheme="majorHAnsi" w:hAnsiTheme="majorHAnsi" w:cs="Arial"/>
          <w:sz w:val="24"/>
          <w:szCs w:val="24"/>
          <w:lang w:val="en-US"/>
        </w:rPr>
      </w:pP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lastRenderedPageBreak/>
        <w:t>Na sljedećem grafikonu prikazan je uporedni prikaz promjene pojedinih rashoda i izdataka u Budžetu Federacije BiH za 2016. godinu:</w:t>
      </w:r>
    </w:p>
    <w:p w:rsidR="005E7F90" w:rsidRDefault="00B14331" w:rsidP="00A03F7B">
      <w:pPr>
        <w:tabs>
          <w:tab w:val="left" w:pos="2805"/>
        </w:tabs>
        <w:spacing w:before="240" w:after="240" w:line="240" w:lineRule="auto"/>
        <w:jc w:val="center"/>
        <w:rPr>
          <w:rFonts w:asciiTheme="majorHAnsi" w:hAnsiTheme="majorHAnsi" w:cs="Arial"/>
          <w:sz w:val="24"/>
          <w:szCs w:val="24"/>
          <w:lang w:val="en-US"/>
        </w:rPr>
      </w:pPr>
      <w:r>
        <w:rPr>
          <w:lang w:eastAsia="bs-Latn-BA"/>
        </w:rPr>
        <w:drawing>
          <wp:inline distT="0" distB="0" distL="0" distR="0" wp14:anchorId="5A01A592" wp14:editId="1AA092A1">
            <wp:extent cx="5410200" cy="2257425"/>
            <wp:effectExtent l="0" t="0" r="0" b="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14331" w:rsidRPr="009513BF" w:rsidRDefault="00B14331" w:rsidP="00A03F7B">
      <w:pPr>
        <w:tabs>
          <w:tab w:val="left" w:pos="2805"/>
        </w:tabs>
        <w:spacing w:before="240" w:after="240" w:line="240" w:lineRule="auto"/>
        <w:jc w:val="center"/>
        <w:rPr>
          <w:rFonts w:asciiTheme="majorHAnsi" w:hAnsiTheme="majorHAnsi" w:cs="Arial"/>
          <w:sz w:val="24"/>
          <w:szCs w:val="24"/>
          <w:lang w:val="en-US"/>
        </w:rPr>
      </w:pP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5</w:t>
      </w:r>
      <w:r w:rsidR="009513BF" w:rsidRPr="009513BF">
        <w:rPr>
          <w:rFonts w:asciiTheme="majorHAnsi" w:hAnsiTheme="majorHAnsi" w:cs="Arial"/>
          <w:b/>
          <w:sz w:val="24"/>
          <w:szCs w:val="24"/>
        </w:rPr>
        <w:t>.1. STRUKTURA RASHODA I IZDATAKA</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Tekuća rezerva</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Tekuća rezerva u Prijedlogu odluke o izmjenama i dopunama Budžeta Federacije BiH za 2016. godinu iznosi 5.155.000,00 KM, i to:</w:t>
      </w:r>
    </w:p>
    <w:p w:rsidR="009513BF" w:rsidRPr="009513BF" w:rsidRDefault="009513BF" w:rsidP="009513BF">
      <w:pPr>
        <w:pStyle w:val="ListParagraph"/>
        <w:numPr>
          <w:ilvl w:val="0"/>
          <w:numId w:val="14"/>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Tekuća rezerva Vlade FBiH u iznosu od 5.000.000,00 KM;</w:t>
      </w:r>
    </w:p>
    <w:p w:rsidR="009513BF" w:rsidRPr="009513BF" w:rsidRDefault="009513BF" w:rsidP="009513BF">
      <w:pPr>
        <w:pStyle w:val="ListParagraph"/>
        <w:numPr>
          <w:ilvl w:val="0"/>
          <w:numId w:val="14"/>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Tekuća rezerva Premijera u iznosu od 75.000,00 KM;</w:t>
      </w:r>
    </w:p>
    <w:p w:rsidR="009513BF" w:rsidRPr="009513BF" w:rsidRDefault="009513BF" w:rsidP="009513BF">
      <w:pPr>
        <w:pStyle w:val="ListParagraph"/>
        <w:numPr>
          <w:ilvl w:val="0"/>
          <w:numId w:val="14"/>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Tekuća rezerva Dopremijera 1 u iznosu od 40.000,00 KM;</w:t>
      </w:r>
    </w:p>
    <w:p w:rsidR="009513BF" w:rsidRPr="009513BF" w:rsidRDefault="009513BF" w:rsidP="009513BF">
      <w:pPr>
        <w:pStyle w:val="ListParagraph"/>
        <w:numPr>
          <w:ilvl w:val="0"/>
          <w:numId w:val="14"/>
        </w:num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Tekuća rezerva Dopremijera 2 u iznosu od 40.000,00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Plaće, doprinosi i naknade troškova zaposlenih</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 xml:space="preserve">U Prijedlogu odluke o izmjenama i dopunama Budžeta Federacije BiH za 2016. godinu plaće, doprinosi i naknade troškova zaposlenih planirane su u ukupnom iznosu od 230,5 mil. KM, što je smanjenje za </w:t>
      </w:r>
      <w:r w:rsidR="00B14331">
        <w:rPr>
          <w:rFonts w:asciiTheme="majorHAnsi" w:hAnsiTheme="majorHAnsi" w:cs="Arial"/>
          <w:sz w:val="24"/>
          <w:szCs w:val="24"/>
          <w:lang w:val="en-US"/>
        </w:rPr>
        <w:t>10,3</w:t>
      </w:r>
      <w:r w:rsidRPr="009513BF">
        <w:rPr>
          <w:rFonts w:asciiTheme="majorHAnsi" w:hAnsiTheme="majorHAnsi" w:cs="Arial"/>
          <w:sz w:val="24"/>
          <w:szCs w:val="24"/>
          <w:lang w:val="en-US"/>
        </w:rPr>
        <w:t xml:space="preserve"> mil. KM ili 4% u odnosu na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Izdaci za materijal, sitni inventar i usluge</w:t>
      </w:r>
    </w:p>
    <w:p w:rsidR="00B24F73" w:rsidRDefault="009513BF" w:rsidP="00B24F73">
      <w:pPr>
        <w:tabs>
          <w:tab w:val="left" w:pos="2805"/>
        </w:tabs>
        <w:spacing w:before="120" w:after="240" w:line="240" w:lineRule="auto"/>
        <w:jc w:val="both"/>
        <w:rPr>
          <w:rFonts w:asciiTheme="majorHAnsi" w:hAnsiTheme="majorHAnsi" w:cs="Arial"/>
          <w:b/>
          <w:sz w:val="24"/>
          <w:szCs w:val="24"/>
        </w:rPr>
      </w:pPr>
      <w:r w:rsidRPr="009513BF">
        <w:rPr>
          <w:rFonts w:asciiTheme="majorHAnsi" w:hAnsiTheme="majorHAnsi" w:cs="Arial"/>
          <w:sz w:val="24"/>
          <w:szCs w:val="24"/>
          <w:lang w:val="en-US"/>
        </w:rPr>
        <w:t>Izdaci za materijal, sitni inventar i usluge u Prijedlogu odluke o izmjenama i dopunama Budžeta Federacije</w:t>
      </w:r>
      <w:r w:rsidR="00B14331">
        <w:rPr>
          <w:rFonts w:asciiTheme="majorHAnsi" w:hAnsiTheme="majorHAnsi" w:cs="Arial"/>
          <w:sz w:val="24"/>
          <w:szCs w:val="24"/>
          <w:lang w:val="en-US"/>
        </w:rPr>
        <w:t xml:space="preserve"> BiH za 2016. godinu iznose 92,4</w:t>
      </w:r>
      <w:r w:rsidRPr="009513BF">
        <w:rPr>
          <w:rFonts w:asciiTheme="majorHAnsi" w:hAnsiTheme="majorHAnsi" w:cs="Arial"/>
          <w:sz w:val="24"/>
          <w:szCs w:val="24"/>
          <w:lang w:val="en-US"/>
        </w:rPr>
        <w:t xml:space="preserve"> mil. KM, što je za 0,6 mil. KM više u odnosu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Tekući transferi i drugi tekući rashodi</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Tekući transferi i drugi tekući rashodi u Prijedlogu odluke o izmjenama i dopunama Budžeta Federacije BiH</w:t>
      </w:r>
      <w:r w:rsidR="00B14331">
        <w:rPr>
          <w:rFonts w:asciiTheme="majorHAnsi" w:hAnsiTheme="majorHAnsi" w:cs="Arial"/>
          <w:sz w:val="24"/>
          <w:szCs w:val="24"/>
          <w:lang w:val="en-US"/>
        </w:rPr>
        <w:t xml:space="preserve"> za 2016. godinu iznose  1.077</w:t>
      </w:r>
      <w:r w:rsidR="00A75ADB">
        <w:rPr>
          <w:rFonts w:asciiTheme="majorHAnsi" w:hAnsiTheme="majorHAnsi" w:cs="Arial"/>
          <w:sz w:val="24"/>
          <w:szCs w:val="24"/>
          <w:lang w:val="en-US"/>
        </w:rPr>
        <w:t>,5</w:t>
      </w:r>
      <w:r w:rsidRPr="009513BF">
        <w:rPr>
          <w:rFonts w:asciiTheme="majorHAnsi" w:hAnsiTheme="majorHAnsi" w:cs="Arial"/>
          <w:sz w:val="24"/>
          <w:szCs w:val="24"/>
          <w:lang w:val="en-US"/>
        </w:rPr>
        <w:t xml:space="preserve"> mil. KM, što je u nivou Budžeta Federacije BiH za 2016. godinu.</w:t>
      </w:r>
    </w:p>
    <w:p w:rsidR="00073FDC" w:rsidRDefault="00073FDC" w:rsidP="009513BF">
      <w:pPr>
        <w:spacing w:before="240" w:after="120" w:line="240" w:lineRule="auto"/>
        <w:jc w:val="both"/>
        <w:rPr>
          <w:rFonts w:asciiTheme="majorHAnsi" w:hAnsiTheme="majorHAnsi" w:cs="Arial"/>
          <w:b/>
          <w:sz w:val="24"/>
          <w:szCs w:val="24"/>
        </w:rPr>
      </w:pPr>
    </w:p>
    <w:p w:rsidR="009513BF" w:rsidRPr="009513BF" w:rsidRDefault="009513BF" w:rsidP="009513BF">
      <w:pPr>
        <w:spacing w:before="240" w:after="120" w:line="240" w:lineRule="auto"/>
        <w:jc w:val="both"/>
        <w:rPr>
          <w:rFonts w:asciiTheme="majorHAnsi" w:hAnsiTheme="majorHAnsi" w:cs="Arial"/>
          <w:b/>
          <w:sz w:val="24"/>
          <w:szCs w:val="24"/>
        </w:rPr>
      </w:pPr>
      <w:r w:rsidRPr="00410D9C">
        <w:rPr>
          <w:rFonts w:asciiTheme="majorHAnsi" w:hAnsiTheme="majorHAnsi" w:cs="Arial"/>
          <w:b/>
          <w:sz w:val="24"/>
          <w:szCs w:val="24"/>
        </w:rPr>
        <w:lastRenderedPageBreak/>
        <w:t>Kapitalni transferi</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Kapitalni transferi u Prijedlogu odluke o izmjenama i dopunama Budžeta Federaci</w:t>
      </w:r>
      <w:r w:rsidR="00A75ADB">
        <w:rPr>
          <w:rFonts w:asciiTheme="majorHAnsi" w:hAnsiTheme="majorHAnsi" w:cs="Arial"/>
          <w:sz w:val="24"/>
          <w:szCs w:val="24"/>
          <w:lang w:val="en-US"/>
        </w:rPr>
        <w:t>je BiH za 2016. godinu iznose 13,1</w:t>
      </w:r>
      <w:r w:rsidRPr="009513BF">
        <w:rPr>
          <w:rFonts w:asciiTheme="majorHAnsi" w:hAnsiTheme="majorHAnsi" w:cs="Arial"/>
          <w:sz w:val="24"/>
          <w:szCs w:val="24"/>
          <w:lang w:val="en-US"/>
        </w:rPr>
        <w:t xml:space="preserve"> mil. KM i u odnosu na iznos iz Budžeta Federacije BiH za 2016. godinu su </w:t>
      </w:r>
      <w:r w:rsidR="00A75ADB">
        <w:rPr>
          <w:rFonts w:asciiTheme="majorHAnsi" w:hAnsiTheme="majorHAnsi" w:cs="Arial"/>
          <w:sz w:val="24"/>
          <w:szCs w:val="24"/>
          <w:lang w:val="en-US"/>
        </w:rPr>
        <w:t>manji za 3,3</w:t>
      </w:r>
      <w:r w:rsidRPr="009513BF">
        <w:rPr>
          <w:rFonts w:asciiTheme="majorHAnsi" w:hAnsiTheme="majorHAnsi" w:cs="Arial"/>
          <w:sz w:val="24"/>
          <w:szCs w:val="24"/>
          <w:lang w:val="en-US"/>
        </w:rPr>
        <w:t xml:space="preserve">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Izdaci za kamate</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U Prijedlogu odluke o izmjenama i dopunama Budžeta Federacije BiH za 2016. godinu izdaci za kamate planirane su u iznosu od 120,3 mil. KM, što je za 3,0 mil. KM ili 2,5% manje u odnosu na</w:t>
      </w:r>
      <w:r w:rsidR="00C85D7E">
        <w:rPr>
          <w:rFonts w:asciiTheme="majorHAnsi" w:hAnsiTheme="majorHAnsi" w:cs="Arial"/>
          <w:sz w:val="24"/>
          <w:szCs w:val="24"/>
          <w:lang w:val="en-US"/>
        </w:rPr>
        <w:t xml:space="preserve"> planirani </w:t>
      </w:r>
      <w:r w:rsidRPr="009513BF">
        <w:rPr>
          <w:rFonts w:asciiTheme="majorHAnsi" w:hAnsiTheme="majorHAnsi" w:cs="Arial"/>
          <w:sz w:val="24"/>
          <w:szCs w:val="24"/>
          <w:lang w:val="en-US"/>
        </w:rPr>
        <w:t xml:space="preserve"> iznos iz 2016. godine.</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Izdaci za nabavku stalnih sredstava</w:t>
      </w:r>
    </w:p>
    <w:p w:rsidR="005E7F90"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Izdaci za nabavku stalnih sredstava u Prijedlogu odluke o izmjenama i dopunama Budžeta Federacije</w:t>
      </w:r>
      <w:r w:rsidR="00410D9C">
        <w:rPr>
          <w:rFonts w:asciiTheme="majorHAnsi" w:hAnsiTheme="majorHAnsi" w:cs="Arial"/>
          <w:sz w:val="24"/>
          <w:szCs w:val="24"/>
          <w:lang w:val="en-US"/>
        </w:rPr>
        <w:t xml:space="preserve"> BiH za 2016. godinu iznose 29,5</w:t>
      </w:r>
      <w:r w:rsidRPr="009513BF">
        <w:rPr>
          <w:rFonts w:asciiTheme="majorHAnsi" w:hAnsiTheme="majorHAnsi" w:cs="Arial"/>
          <w:sz w:val="24"/>
          <w:szCs w:val="24"/>
          <w:lang w:val="en-US"/>
        </w:rPr>
        <w:t xml:space="preserve"> mil. KM i u odnosu na </w:t>
      </w:r>
      <w:r w:rsidR="00C85D7E">
        <w:rPr>
          <w:rFonts w:asciiTheme="majorHAnsi" w:hAnsiTheme="majorHAnsi" w:cs="Arial"/>
          <w:sz w:val="24"/>
          <w:szCs w:val="24"/>
          <w:lang w:val="en-US"/>
        </w:rPr>
        <w:t xml:space="preserve"> planirani </w:t>
      </w:r>
      <w:r w:rsidRPr="009513BF">
        <w:rPr>
          <w:rFonts w:asciiTheme="majorHAnsi" w:hAnsiTheme="majorHAnsi" w:cs="Arial"/>
          <w:sz w:val="24"/>
          <w:szCs w:val="24"/>
          <w:lang w:val="en-US"/>
        </w:rPr>
        <w:t>iznos iz Budžeta Federacije BiH</w:t>
      </w:r>
      <w:r w:rsidR="00410D9C">
        <w:rPr>
          <w:rFonts w:asciiTheme="majorHAnsi" w:hAnsiTheme="majorHAnsi" w:cs="Arial"/>
          <w:sz w:val="24"/>
          <w:szCs w:val="24"/>
          <w:lang w:val="en-US"/>
        </w:rPr>
        <w:t xml:space="preserve"> za 2016. godinu manji su za 4,3</w:t>
      </w:r>
      <w:r w:rsidRPr="009513BF">
        <w:rPr>
          <w:rFonts w:asciiTheme="majorHAnsi" w:hAnsiTheme="majorHAnsi" w:cs="Arial"/>
          <w:sz w:val="24"/>
          <w:szCs w:val="24"/>
          <w:lang w:val="en-US"/>
        </w:rPr>
        <w:t xml:space="preserve">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Izdaci za finansijsku imovinu</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U Prijedlogu odluke o izmjenama i dopunama Budžeta Federacije BiH za 2016. godinu izdaci za finansijsku imovinu su umanjeni za 2,5 mil. KM i iznose 16,6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Izdaci za otplate dugova</w:t>
      </w:r>
    </w:p>
    <w:p w:rsidR="009513BF" w:rsidRPr="009513BF" w:rsidRDefault="009513BF" w:rsidP="009513BF">
      <w:pPr>
        <w:tabs>
          <w:tab w:val="left" w:pos="2805"/>
        </w:tabs>
        <w:spacing w:before="12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U Prijedlogu odluke o izmjenama i dopunama Budžeta Federacije BiH za 2016. godinu izdaci za otplate dugova planirani su u iznosu od 912,1 mil. KM, što je za 62,8 mil. KM ili 6,4% manje u odnosu na iznos iz 2016. godine.</w:t>
      </w:r>
    </w:p>
    <w:p w:rsidR="009513BF" w:rsidRDefault="009513BF" w:rsidP="009513BF">
      <w:pPr>
        <w:tabs>
          <w:tab w:val="left" w:pos="2805"/>
        </w:tabs>
        <w:spacing w:before="240" w:after="240" w:line="240" w:lineRule="auto"/>
        <w:jc w:val="both"/>
        <w:rPr>
          <w:rFonts w:asciiTheme="majorHAnsi" w:hAnsiTheme="majorHAnsi" w:cs="Arial"/>
          <w:sz w:val="24"/>
          <w:szCs w:val="24"/>
          <w:lang w:val="en-US"/>
        </w:rPr>
      </w:pPr>
      <w:r w:rsidRPr="009513BF">
        <w:rPr>
          <w:rFonts w:asciiTheme="majorHAnsi" w:hAnsiTheme="majorHAnsi" w:cs="Arial"/>
          <w:sz w:val="24"/>
          <w:szCs w:val="24"/>
          <w:lang w:val="en-US"/>
        </w:rPr>
        <w:t>Na sljedećem grafikonu prikazano je učešće pojedinih rashoda i izdataka u Prijedlogu odluke o izmjenama i dopunama Budžeta Federacije BiH za 2016. godinu:</w:t>
      </w:r>
    </w:p>
    <w:p w:rsidR="009513BF" w:rsidRPr="009513BF" w:rsidRDefault="00410D9C" w:rsidP="00410D9C">
      <w:pPr>
        <w:tabs>
          <w:tab w:val="left" w:pos="2805"/>
        </w:tabs>
        <w:spacing w:before="240" w:after="240" w:line="240" w:lineRule="auto"/>
        <w:jc w:val="center"/>
        <w:rPr>
          <w:rFonts w:asciiTheme="majorHAnsi" w:hAnsiTheme="majorHAnsi" w:cs="Arial"/>
          <w:sz w:val="24"/>
          <w:szCs w:val="24"/>
          <w:lang w:val="en-US"/>
        </w:rPr>
      </w:pPr>
      <w:r>
        <w:rPr>
          <w:lang w:eastAsia="bs-Latn-BA"/>
        </w:rPr>
        <w:drawing>
          <wp:inline distT="0" distB="0" distL="0" distR="0" wp14:anchorId="5509D6A3" wp14:editId="3330CC5E">
            <wp:extent cx="5448300" cy="2628900"/>
            <wp:effectExtent l="0" t="0" r="0" b="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513BF" w:rsidRPr="009513BF" w:rsidRDefault="009513BF" w:rsidP="009513BF">
      <w:pPr>
        <w:tabs>
          <w:tab w:val="left" w:pos="2805"/>
        </w:tabs>
        <w:spacing w:before="240" w:after="240" w:line="240" w:lineRule="auto"/>
        <w:jc w:val="both"/>
        <w:rPr>
          <w:rFonts w:asciiTheme="majorHAnsi" w:hAnsiTheme="majorHAnsi" w:cs="Arial"/>
          <w:sz w:val="24"/>
          <w:szCs w:val="24"/>
          <w:lang w:val="en-US"/>
        </w:rPr>
      </w:pPr>
    </w:p>
    <w:tbl>
      <w:tblPr>
        <w:tblpPr w:leftFromText="180" w:rightFromText="180" w:vertAnchor="text" w:horzAnchor="margin" w:tblpYSpec="bottom"/>
        <w:tblW w:w="5187" w:type="pct"/>
        <w:tblCellMar>
          <w:left w:w="360" w:type="dxa"/>
          <w:right w:w="360" w:type="dxa"/>
        </w:tblCellMar>
        <w:tblLook w:val="04A0" w:firstRow="1" w:lastRow="0" w:firstColumn="1" w:lastColumn="0" w:noHBand="0" w:noVBand="1"/>
      </w:tblPr>
      <w:tblGrid>
        <w:gridCol w:w="1134"/>
        <w:gridCol w:w="8576"/>
      </w:tblGrid>
      <w:tr w:rsidR="009513BF" w:rsidTr="00C26CF4">
        <w:trPr>
          <w:trHeight w:val="758"/>
        </w:trPr>
        <w:tc>
          <w:tcPr>
            <w:tcW w:w="584" w:type="pct"/>
            <w:shd w:val="clear" w:color="auto" w:fill="4F6228" w:themeFill="accent3" w:themeFillShade="80"/>
            <w:vAlign w:val="center"/>
          </w:tcPr>
          <w:p w:rsidR="009513BF" w:rsidRPr="009513BF" w:rsidRDefault="009539DA" w:rsidP="00C26CF4">
            <w:pPr>
              <w:pStyle w:val="NoSpacing"/>
              <w:jc w:val="center"/>
              <w:rPr>
                <w:rFonts w:asciiTheme="majorHAnsi" w:hAnsiTheme="majorHAnsi"/>
                <w:b/>
                <w:smallCaps/>
                <w:color w:val="FFFFFF" w:themeColor="background1"/>
                <w:sz w:val="32"/>
                <w:szCs w:val="24"/>
              </w:rPr>
            </w:pPr>
            <w:r>
              <w:rPr>
                <w:rFonts w:asciiTheme="majorHAnsi" w:hAnsiTheme="majorHAnsi"/>
                <w:b/>
                <w:smallCaps/>
                <w:color w:val="FFFFFF" w:themeColor="background1"/>
                <w:sz w:val="32"/>
                <w:szCs w:val="24"/>
              </w:rPr>
              <w:lastRenderedPageBreak/>
              <w:t>6</w:t>
            </w:r>
            <w:r w:rsidR="009513BF" w:rsidRPr="009513BF">
              <w:rPr>
                <w:rFonts w:asciiTheme="majorHAnsi" w:hAnsiTheme="majorHAnsi"/>
                <w:b/>
                <w:smallCaps/>
                <w:color w:val="FFFFFF" w:themeColor="background1"/>
                <w:sz w:val="32"/>
                <w:szCs w:val="24"/>
              </w:rPr>
              <w:t>.</w:t>
            </w:r>
          </w:p>
        </w:tc>
        <w:tc>
          <w:tcPr>
            <w:tcW w:w="4416" w:type="pct"/>
            <w:shd w:val="clear" w:color="auto" w:fill="C2D69B" w:themeFill="accent3" w:themeFillTint="99"/>
            <w:vAlign w:val="center"/>
          </w:tcPr>
          <w:p w:rsidR="009513BF" w:rsidRPr="009513BF" w:rsidRDefault="009513BF" w:rsidP="00C26CF4">
            <w:pPr>
              <w:pStyle w:val="NoSpacing"/>
              <w:rPr>
                <w:rFonts w:asciiTheme="majorHAnsi" w:hAnsiTheme="majorHAnsi"/>
                <w:b/>
                <w:smallCaps/>
                <w:color w:val="FFFFFF" w:themeColor="background1"/>
                <w:sz w:val="32"/>
                <w:szCs w:val="28"/>
                <w:lang w:val="de-DE"/>
              </w:rPr>
            </w:pPr>
            <w:r>
              <w:rPr>
                <w:rFonts w:asciiTheme="majorHAnsi" w:hAnsiTheme="majorHAnsi"/>
                <w:b/>
                <w:smallCaps/>
                <w:sz w:val="32"/>
                <w:szCs w:val="28"/>
                <w:lang w:val="de-DE"/>
              </w:rPr>
              <w:t>OBRAZLOŽENJE PO EKONOMSKIM KODOVIMA</w:t>
            </w:r>
          </w:p>
        </w:tc>
      </w:tr>
    </w:tbl>
    <w:p w:rsidR="009513BF" w:rsidRPr="009513BF" w:rsidRDefault="009539DA" w:rsidP="009513BF">
      <w:pPr>
        <w:tabs>
          <w:tab w:val="left" w:pos="2805"/>
        </w:tabs>
        <w:spacing w:before="240" w:after="240" w:line="240" w:lineRule="auto"/>
        <w:jc w:val="both"/>
        <w:rPr>
          <w:rFonts w:asciiTheme="majorHAnsi" w:hAnsiTheme="majorHAnsi" w:cs="Arial"/>
          <w:b/>
          <w:sz w:val="24"/>
          <w:szCs w:val="24"/>
        </w:rPr>
      </w:pPr>
      <w:r>
        <w:rPr>
          <w:rFonts w:asciiTheme="majorHAnsi" w:hAnsiTheme="majorHAnsi" w:cs="Arial"/>
          <w:b/>
          <w:sz w:val="24"/>
          <w:szCs w:val="24"/>
        </w:rPr>
        <w:lastRenderedPageBreak/>
        <w:t>6</w:t>
      </w:r>
      <w:r w:rsidR="009513BF" w:rsidRPr="009513BF">
        <w:rPr>
          <w:rFonts w:asciiTheme="majorHAnsi" w:hAnsiTheme="majorHAnsi" w:cs="Arial"/>
          <w:b/>
          <w:sz w:val="24"/>
          <w:szCs w:val="24"/>
        </w:rPr>
        <w:t>.1. PLAĆE I NAKNADE TROŠKOVA ZAPOSLENIH</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6111 – Bruto plaće i naknade</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Bruto plaće i naknade po osnovu redovnog rada planirane su na osnovu Zakona  o plaćama i naknadama u organima vlasti  Federacije Bosne i Hercegovine i Zakona o plaćama i naknadama policijskih službenika Federacije Bosne i Hercegovine za sve zaposlene uz primjenu osnovice za obračun plaća od 315,00 KM. Ukupno planirana sredstva u </w:t>
      </w:r>
      <w:r w:rsidRPr="009513BF">
        <w:rPr>
          <w:rFonts w:asciiTheme="majorHAnsi" w:hAnsiTheme="majorHAnsi" w:cs="Arial"/>
          <w:sz w:val="24"/>
          <w:szCs w:val="24"/>
          <w:lang w:val="en-US"/>
        </w:rPr>
        <w:t>Prijedlogu odluke o izmjenama i dopunama Budžeta Federacije BiH za 2016. godinu</w:t>
      </w:r>
      <w:r w:rsidRPr="009513BF">
        <w:rPr>
          <w:rFonts w:asciiTheme="majorHAnsi" w:hAnsiTheme="majorHAnsi" w:cs="Arial"/>
          <w:sz w:val="24"/>
          <w:szCs w:val="24"/>
        </w:rPr>
        <w:t xml:space="preserve"> na ovoj poziciji iznose 180,3 mil. KM, što predstavlja smanjenje u odnosu na iznos Budžeta Federacije BiH za 2016. godinu od 8,8 mil. KM ili 4,6%. Jedan od razloga  smanjenja jeste i politika Vlade Federacije BiH o obustavi zapošljavanja, što je za posljedicu imalo značajno sporiju dinamiku popunjavanja planiranih radnih mjesta čime je stvoren dodatni prostor za uštede. </w:t>
      </w:r>
    </w:p>
    <w:p w:rsidR="009513BF"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Zaključkom Vlade Federacije Bosne i Hercegovine V.broj: 1363/2016, od 24.06.2016. godine usvojen Dokument politike o ograničavanju javne potrošnje na plaće i naknade troškova zaposlenih. Ovim dokumentom Vlada Federacije Bosne i Hercegovine je pruzela obavezu da reducira ukupan okvir za plaće i naknade koji se izdvaja iz Budžeta Federacije Bosne i Hercegovine počevši od 2017. godine. Navedeno se namjerava provesti kroz politiku kontrolisanog zapošljavanja u federalnim organima uprave, reorganizacijom i većom horizontalnom fluktuacijom državnih službenika i namještenika između pojednih federalnih organa uprave. Budžet Federacije Bosne i Hercegovine za 2016. godinu je planirao upošljavanje 7.360 osoba, a u 2017. godini taj broj će se umanjiti za 150 osoba i iznosiće 7.210, što će rezultirati uštedom od oko 5,2 miliona KM. </w:t>
      </w:r>
      <w:r w:rsidRPr="009513BF">
        <w:rPr>
          <w:rFonts w:asciiTheme="majorHAnsi" w:hAnsiTheme="majorHAnsi" w:cs="Arial"/>
          <w:sz w:val="24"/>
          <w:szCs w:val="24"/>
          <w:lang w:val="en-US"/>
        </w:rPr>
        <w:t xml:space="preserve">U međuvremenu, usvojena je Izmjena i dopuna Zaključka Vlade Federacije Bosne i Hercegovine V. broj: 1589/2016 od 18.08.2016. godine, na osnovu kojeg Vlada Federacije Bosne i Hercegovine može dati saglasnost za pokretanje procedure prijema na radna mjesta najviše do 50% izvršilaca u odnosu na broj upražnjenih radnih mjesta. </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6112 – Naknade troškova zaposlenih</w:t>
      </w:r>
    </w:p>
    <w:p w:rsid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Naknade troškova zaposlenih u </w:t>
      </w:r>
      <w:r w:rsidRPr="009513BF">
        <w:rPr>
          <w:rFonts w:asciiTheme="majorHAnsi" w:hAnsiTheme="majorHAnsi" w:cs="Arial"/>
          <w:sz w:val="24"/>
          <w:szCs w:val="24"/>
          <w:lang w:val="en-US"/>
        </w:rPr>
        <w:t>Prijedlogu odluke o izmjenama i dopunama Budžeta Federacije BiH za 2016. godinu</w:t>
      </w:r>
      <w:r w:rsidRPr="009513BF">
        <w:rPr>
          <w:rFonts w:asciiTheme="majorHAnsi" w:hAnsiTheme="majorHAnsi" w:cs="Arial"/>
          <w:sz w:val="24"/>
          <w:szCs w:val="24"/>
        </w:rPr>
        <w:t xml:space="preserve"> planirane su u iznosu od 27,9 mil. KM i manje su  0,5 mil. KM u odnosu na Budžet Federacije BiH za 2016. godinu. Osnova za planiranje ovih naknada su Uredba o naknadama koje pripadaju članovima Vlade FBiH i njihovim savjetnicima koje nemaju karakter plaće, te Izmjene Uredbe o naknadama koje nemaju karakter plaće (odnosi se na državne službenike i namještenike) kojim je Vlada FBiH smanjila naknade za odvojeni život, naknade za troškove smještaja, te naknadu za zakup stana za službene potrebe. Prilikom planiranja uzet je u obzir Zakon o izmjenama i dopunama Zakona o plaćama i drugim naknadama sudija i tužilaca u Federaciji Bosne i Hercegovine („Službene novine Federacije BiH“, broj 55/13). Navedenim zakonom regulisana su prava sudija, tužilaca i stručnih saradnika na naknade troškova zaposlenih.</w:t>
      </w:r>
    </w:p>
    <w:p w:rsidR="00A03F7B" w:rsidRPr="009513BF" w:rsidRDefault="00A03F7B" w:rsidP="009513BF">
      <w:pPr>
        <w:spacing w:before="120" w:after="240" w:line="240" w:lineRule="auto"/>
        <w:jc w:val="both"/>
        <w:rPr>
          <w:rFonts w:asciiTheme="majorHAnsi" w:hAnsiTheme="majorHAnsi" w:cs="Arial"/>
          <w:sz w:val="24"/>
          <w:szCs w:val="24"/>
        </w:rPr>
      </w:pP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lastRenderedPageBreak/>
        <w:t>6</w:t>
      </w:r>
      <w:r w:rsidR="009513BF" w:rsidRPr="009513BF">
        <w:rPr>
          <w:rFonts w:asciiTheme="majorHAnsi" w:hAnsiTheme="majorHAnsi" w:cs="Arial"/>
          <w:b/>
          <w:sz w:val="24"/>
          <w:szCs w:val="24"/>
        </w:rPr>
        <w:t>.2. DOPRINOSI POSLODAVCA I OSTALI DOPRINOSI</w:t>
      </w:r>
    </w:p>
    <w:p w:rsidR="009513BF"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Doprinosi poslodavca planirani su u </w:t>
      </w:r>
      <w:r w:rsidRPr="009513BF">
        <w:rPr>
          <w:rFonts w:asciiTheme="majorHAnsi" w:hAnsiTheme="majorHAnsi" w:cs="Arial"/>
          <w:sz w:val="24"/>
          <w:szCs w:val="24"/>
          <w:lang w:val="en-US"/>
        </w:rPr>
        <w:t>Prijedlogu odluke o izmjenama i dopunama Budžeta Federacije BiH za 2016. godinu u</w:t>
      </w:r>
      <w:r w:rsidRPr="009513BF">
        <w:rPr>
          <w:rFonts w:asciiTheme="majorHAnsi" w:hAnsiTheme="majorHAnsi" w:cs="Arial"/>
          <w:sz w:val="24"/>
          <w:szCs w:val="24"/>
        </w:rPr>
        <w:t xml:space="preserve">  iznosu od 22,4 mil. KM što je za 1,0 mil. KM ili 4,4% manje u odnosu na  Budžet Federacije BiH za 2016. godinu. </w:t>
      </w: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6</w:t>
      </w:r>
      <w:r w:rsidR="009513BF" w:rsidRPr="00ED565E">
        <w:rPr>
          <w:rFonts w:asciiTheme="majorHAnsi" w:hAnsiTheme="majorHAnsi" w:cs="Arial"/>
          <w:b/>
          <w:sz w:val="24"/>
          <w:szCs w:val="24"/>
        </w:rPr>
        <w:t>.3. IZDACI ZA MATERIJAL, SITNI INVENTAR I USLUGE</w:t>
      </w:r>
    </w:p>
    <w:p w:rsidR="009513BF"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Izdaci za materijal, sitni inventar i usluge planirani su u </w:t>
      </w:r>
      <w:r w:rsidRPr="009513BF">
        <w:rPr>
          <w:rFonts w:asciiTheme="majorHAnsi" w:hAnsiTheme="majorHAnsi" w:cs="Arial"/>
          <w:sz w:val="24"/>
          <w:szCs w:val="24"/>
          <w:lang w:val="en-US"/>
        </w:rPr>
        <w:t>Prijedlogu odluke o izmjenama i dopunama Budžeta Federacije BiH za 2016. godinu</w:t>
      </w:r>
      <w:r w:rsidRPr="009513BF">
        <w:rPr>
          <w:rFonts w:asciiTheme="majorHAnsi" w:hAnsiTheme="majorHAnsi" w:cs="Arial"/>
          <w:sz w:val="24"/>
          <w:szCs w:val="24"/>
        </w:rPr>
        <w:t xml:space="preserve"> u iznosu od 92,4 mil. KM, što je za 0,6 mil. KM ili 0,7% više u odnosu na Budžet Federacije BiH za 2016. godinu. Znatan dio sredstava se odnosi na sredstva koja će se finansirati sa podračuna, tj. za njihovo finansiranje su obezbjeđena namjenska sredstva na prihodovnoj strani.</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6131 - Putni troškovi</w:t>
      </w:r>
    </w:p>
    <w:p w:rsidR="009513BF" w:rsidRPr="009513BF" w:rsidRDefault="009513BF" w:rsidP="009513BF">
      <w:pPr>
        <w:spacing w:before="120" w:after="240" w:line="240" w:lineRule="auto"/>
        <w:jc w:val="both"/>
        <w:rPr>
          <w:rFonts w:asciiTheme="majorHAnsi" w:hAnsiTheme="majorHAnsi" w:cs="Arial"/>
          <w:color w:val="FF0000"/>
          <w:sz w:val="24"/>
          <w:szCs w:val="24"/>
        </w:rPr>
      </w:pPr>
      <w:r w:rsidRPr="009513BF">
        <w:rPr>
          <w:rFonts w:asciiTheme="majorHAnsi" w:hAnsiTheme="majorHAnsi" w:cs="Arial"/>
          <w:sz w:val="24"/>
          <w:szCs w:val="24"/>
        </w:rPr>
        <w:t>Putni troškovi planirani su u iznos</w:t>
      </w:r>
      <w:r w:rsidR="00ED565E">
        <w:rPr>
          <w:rFonts w:asciiTheme="majorHAnsi" w:hAnsiTheme="majorHAnsi" w:cs="Arial"/>
          <w:sz w:val="24"/>
          <w:szCs w:val="24"/>
        </w:rPr>
        <w:t>u od 2,9 mil. KM, što je za 0,1</w:t>
      </w:r>
      <w:r w:rsidRPr="009513BF">
        <w:rPr>
          <w:rFonts w:asciiTheme="majorHAnsi" w:hAnsiTheme="majorHAnsi" w:cs="Arial"/>
          <w:sz w:val="24"/>
          <w:szCs w:val="24"/>
        </w:rPr>
        <w:t xml:space="preserve"> mil. KM manje u odnosu na Budžet Federacije BiH za 2016. godinu</w:t>
      </w:r>
      <w:r w:rsidRPr="009513BF">
        <w:rPr>
          <w:rFonts w:asciiTheme="majorHAnsi" w:hAnsiTheme="majorHAnsi" w:cs="Arial"/>
          <w:color w:val="FF0000"/>
          <w:sz w:val="24"/>
          <w:szCs w:val="24"/>
        </w:rPr>
        <w:t>.</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6132 – Izdaci za energiju</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Izdaci za energiju iz</w:t>
      </w:r>
      <w:r w:rsidR="00ED565E">
        <w:rPr>
          <w:rFonts w:asciiTheme="majorHAnsi" w:hAnsiTheme="majorHAnsi" w:cs="Arial"/>
          <w:sz w:val="24"/>
          <w:szCs w:val="24"/>
        </w:rPr>
        <w:t>nose 6,1 mil. KM, što je za 0,2</w:t>
      </w:r>
      <w:r w:rsidRPr="009513BF">
        <w:rPr>
          <w:rFonts w:asciiTheme="majorHAnsi" w:hAnsiTheme="majorHAnsi" w:cs="Arial"/>
          <w:sz w:val="24"/>
          <w:szCs w:val="24"/>
        </w:rPr>
        <w:t xml:space="preserve"> mil. KM manje u odnosu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6133 – Izdaci za komunikaciju i komunalne usluge</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Izdaci za komunikaciju i komunalne usluge iz</w:t>
      </w:r>
      <w:r w:rsidR="00ED565E">
        <w:rPr>
          <w:rFonts w:asciiTheme="majorHAnsi" w:hAnsiTheme="majorHAnsi" w:cs="Arial"/>
          <w:sz w:val="24"/>
          <w:szCs w:val="24"/>
        </w:rPr>
        <w:t>nose 5,9 mil. KM, što je za 0,1</w:t>
      </w:r>
      <w:r w:rsidRPr="009513BF">
        <w:rPr>
          <w:rFonts w:asciiTheme="majorHAnsi" w:hAnsiTheme="majorHAnsi" w:cs="Arial"/>
          <w:sz w:val="24"/>
          <w:szCs w:val="24"/>
        </w:rPr>
        <w:t xml:space="preserve"> mil. KM više u odnosu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6134 – Nabavka materijala i sitnog inventara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Izdaci za nabavku materijala i sitnog inventara planirani su u iznosu od 1</w:t>
      </w:r>
      <w:r w:rsidR="001E2EF0">
        <w:rPr>
          <w:rFonts w:asciiTheme="majorHAnsi" w:hAnsiTheme="majorHAnsi" w:cs="Arial"/>
          <w:sz w:val="24"/>
          <w:szCs w:val="24"/>
        </w:rPr>
        <w:t>6,0 mil. KM i smanjeni su za 0,6</w:t>
      </w:r>
      <w:r w:rsidRPr="009513BF">
        <w:rPr>
          <w:rFonts w:asciiTheme="majorHAnsi" w:hAnsiTheme="majorHAnsi" w:cs="Arial"/>
          <w:sz w:val="24"/>
          <w:szCs w:val="24"/>
        </w:rPr>
        <w:t xml:space="preserve"> mil. KM. </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6135 – Izdaci za usluge prevoza i goriva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Izdaci za usluge prevoza i goriva smanjeni su u odnosu na Budžet Federa</w:t>
      </w:r>
      <w:r w:rsidR="001E2EF0">
        <w:rPr>
          <w:rFonts w:asciiTheme="majorHAnsi" w:hAnsiTheme="majorHAnsi" w:cs="Arial"/>
          <w:sz w:val="24"/>
          <w:szCs w:val="24"/>
        </w:rPr>
        <w:t>cije BiH za 2016. godinu za 0,3</w:t>
      </w:r>
      <w:r w:rsidRPr="009513BF">
        <w:rPr>
          <w:rFonts w:asciiTheme="majorHAnsi" w:hAnsiTheme="majorHAnsi" w:cs="Arial"/>
          <w:sz w:val="24"/>
          <w:szCs w:val="24"/>
        </w:rPr>
        <w:t xml:space="preserve"> mil. KM i iznose 3,0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6136 – Unajmljivanje imovine, opreme i nematerijalne imovine</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Izdaci za unajmljivanje imovine, opreme i nematerijalne imovine planirani su u iznosu od 8,3 mil. KM što je na nivou iznosa iz 2016. godine.</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6137 – Izdaci za tekuće održavanje</w:t>
      </w:r>
    </w:p>
    <w:p w:rsid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Izdaci za tekuće održavanje planirani su u iznosu</w:t>
      </w:r>
      <w:r w:rsidR="001E2EF0">
        <w:rPr>
          <w:rFonts w:asciiTheme="majorHAnsi" w:hAnsiTheme="majorHAnsi" w:cs="Arial"/>
          <w:sz w:val="24"/>
          <w:szCs w:val="24"/>
        </w:rPr>
        <w:t xml:space="preserve"> od 4,4 mil. KM i veći su za 0,</w:t>
      </w:r>
      <w:r w:rsidRPr="009513BF">
        <w:rPr>
          <w:rFonts w:asciiTheme="majorHAnsi" w:hAnsiTheme="majorHAnsi" w:cs="Arial"/>
          <w:sz w:val="24"/>
          <w:szCs w:val="24"/>
        </w:rPr>
        <w:t xml:space="preserve">1 mil. KM u odnosu na </w:t>
      </w:r>
      <w:r w:rsidR="00C85D7E">
        <w:rPr>
          <w:rFonts w:asciiTheme="majorHAnsi" w:hAnsiTheme="majorHAnsi" w:cs="Arial"/>
          <w:sz w:val="24"/>
          <w:szCs w:val="24"/>
        </w:rPr>
        <w:t>planiran iznos 2016. godine</w:t>
      </w:r>
      <w:r w:rsidRPr="009513BF">
        <w:rPr>
          <w:rFonts w:asciiTheme="majorHAnsi" w:hAnsiTheme="majorHAnsi" w:cs="Arial"/>
          <w:sz w:val="24"/>
          <w:szCs w:val="24"/>
        </w:rPr>
        <w:t>.</w:t>
      </w:r>
    </w:p>
    <w:p w:rsidR="00A03F7B" w:rsidRPr="009513BF" w:rsidRDefault="00A03F7B" w:rsidP="009513BF">
      <w:pPr>
        <w:spacing w:before="120" w:after="240" w:line="240" w:lineRule="auto"/>
        <w:jc w:val="both"/>
        <w:rPr>
          <w:rFonts w:asciiTheme="majorHAnsi" w:hAnsiTheme="majorHAnsi" w:cs="Arial"/>
          <w:sz w:val="24"/>
          <w:szCs w:val="24"/>
        </w:rPr>
      </w:pP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lastRenderedPageBreak/>
        <w:t>6138 – Izdaci osiguranja, bankarskih usluga i usluga platnog prometa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Izdaci osiguranja, bankarskih usluga i usluga platnog prometa planirani su u iznosu od 2,0 mil. KM i u odno</w:t>
      </w:r>
      <w:r w:rsidR="00A75ADB">
        <w:rPr>
          <w:rFonts w:asciiTheme="majorHAnsi" w:hAnsiTheme="majorHAnsi" w:cs="Arial"/>
          <w:sz w:val="24"/>
          <w:szCs w:val="24"/>
        </w:rPr>
        <w:t>su na 2016. godinu su manji za 0,02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6139 – Ugovorene i druge posebne usluge</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Ugovorene i druge p</w:t>
      </w:r>
      <w:r w:rsidR="00FC626E">
        <w:rPr>
          <w:rFonts w:asciiTheme="majorHAnsi" w:hAnsiTheme="majorHAnsi" w:cs="Arial"/>
          <w:sz w:val="24"/>
          <w:szCs w:val="24"/>
        </w:rPr>
        <w:t>osebne usluge povećane su za 1,5</w:t>
      </w:r>
      <w:r w:rsidRPr="009513BF">
        <w:rPr>
          <w:rFonts w:asciiTheme="majorHAnsi" w:hAnsiTheme="majorHAnsi" w:cs="Arial"/>
          <w:sz w:val="24"/>
          <w:szCs w:val="24"/>
        </w:rPr>
        <w:t xml:space="preserve"> mil. KM i iznose 43,7 mil. KM. </w:t>
      </w: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6</w:t>
      </w:r>
      <w:r w:rsidR="009513BF" w:rsidRPr="009513BF">
        <w:rPr>
          <w:rFonts w:asciiTheme="majorHAnsi" w:hAnsiTheme="majorHAnsi" w:cs="Arial"/>
          <w:b/>
          <w:sz w:val="24"/>
          <w:szCs w:val="24"/>
        </w:rPr>
        <w:t>.4. TEKUĆI TRANSFERI I DRUGI TEKUĆI RASHODI</w:t>
      </w:r>
    </w:p>
    <w:p w:rsidR="009513BF"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lang w:val="en-US"/>
        </w:rPr>
        <w:t>Prijedlogom odluke o izmjenama i dopunama Budžeta Federacije BiH za 2016. godinu</w:t>
      </w:r>
      <w:r w:rsidRPr="009513BF">
        <w:rPr>
          <w:rFonts w:asciiTheme="majorHAnsi" w:hAnsiTheme="majorHAnsi" w:cs="Arial"/>
          <w:sz w:val="24"/>
          <w:szCs w:val="24"/>
        </w:rPr>
        <w:t xml:space="preserve"> tekući transferi i drugi tekući rashodi </w:t>
      </w:r>
      <w:r w:rsidR="00FC626E">
        <w:rPr>
          <w:rFonts w:asciiTheme="majorHAnsi" w:hAnsiTheme="majorHAnsi" w:cs="Arial"/>
          <w:sz w:val="24"/>
          <w:szCs w:val="24"/>
        </w:rPr>
        <w:t>planirani su u iznosu od 1.077</w:t>
      </w:r>
      <w:r w:rsidR="00A75ADB">
        <w:rPr>
          <w:rFonts w:asciiTheme="majorHAnsi" w:hAnsiTheme="majorHAnsi" w:cs="Arial"/>
          <w:sz w:val="24"/>
          <w:szCs w:val="24"/>
        </w:rPr>
        <w:t xml:space="preserve">,5 mil. KM i skoro su identični </w:t>
      </w:r>
      <w:r w:rsidRPr="009513BF">
        <w:rPr>
          <w:rFonts w:asciiTheme="majorHAnsi" w:hAnsiTheme="majorHAnsi" w:cs="Arial"/>
          <w:sz w:val="24"/>
          <w:szCs w:val="24"/>
        </w:rPr>
        <w:t>u odnosu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6141 – Tekući transferi drugim nivoima vlasti i fondovima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drugim nivoima vlasti i fondovim</w:t>
      </w:r>
      <w:r w:rsidR="00FC626E">
        <w:rPr>
          <w:rFonts w:asciiTheme="majorHAnsi" w:hAnsiTheme="majorHAnsi" w:cs="Arial"/>
          <w:sz w:val="24"/>
          <w:szCs w:val="24"/>
        </w:rPr>
        <w:t>a planirani su u iznosu od 392</w:t>
      </w:r>
      <w:r w:rsidR="00A75ADB">
        <w:rPr>
          <w:rFonts w:asciiTheme="majorHAnsi" w:hAnsiTheme="majorHAnsi" w:cs="Arial"/>
          <w:sz w:val="24"/>
          <w:szCs w:val="24"/>
        </w:rPr>
        <w:t>,6</w:t>
      </w:r>
      <w:r w:rsidRPr="009513BF">
        <w:rPr>
          <w:rFonts w:asciiTheme="majorHAnsi" w:hAnsiTheme="majorHAnsi" w:cs="Arial"/>
          <w:sz w:val="24"/>
          <w:szCs w:val="24"/>
        </w:rPr>
        <w:t xml:space="preserve"> mil. </w:t>
      </w:r>
      <w:r w:rsidR="00FC626E">
        <w:rPr>
          <w:rFonts w:asciiTheme="majorHAnsi" w:hAnsiTheme="majorHAnsi" w:cs="Arial"/>
          <w:sz w:val="24"/>
          <w:szCs w:val="24"/>
        </w:rPr>
        <w:t>KM, odnosno smanjeni su za 43</w:t>
      </w:r>
      <w:r w:rsidR="00A75ADB">
        <w:rPr>
          <w:rFonts w:asciiTheme="majorHAnsi" w:hAnsiTheme="majorHAnsi" w:cs="Arial"/>
          <w:sz w:val="24"/>
          <w:szCs w:val="24"/>
        </w:rPr>
        <w:t xml:space="preserve">,1 </w:t>
      </w:r>
      <w:r w:rsidRPr="009513BF">
        <w:rPr>
          <w:rFonts w:asciiTheme="majorHAnsi" w:hAnsiTheme="majorHAnsi" w:cs="Arial"/>
          <w:sz w:val="24"/>
          <w:szCs w:val="24"/>
        </w:rPr>
        <w:t>mil. KM u odnosu na sredstva planirana u Budžetu Federacije BiH za 2016. godinu.</w:t>
      </w:r>
    </w:p>
    <w:p w:rsidR="009513BF" w:rsidRPr="00C85D7E" w:rsidRDefault="009513BF" w:rsidP="00C85D7E">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Najznačajnije promjene tekućih transfera drugim nivoima vlasti i fondovima su: </w:t>
      </w:r>
    </w:p>
    <w:p w:rsidR="009513BF" w:rsidRPr="009513BF" w:rsidRDefault="009513BF" w:rsidP="009513BF">
      <w:pPr>
        <w:pStyle w:val="ListParagraph"/>
        <w:numPr>
          <w:ilvl w:val="0"/>
          <w:numId w:val="5"/>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Tekući transferi drugim nivoima vlasti i fondovima - Transfer po osnovu prava demobilisanih boraca i članova njihovih porodica planiran je u iznosu od 21,0 mil. KM, smanjen za 2,3 mil. KM; </w:t>
      </w:r>
    </w:p>
    <w:p w:rsidR="009513BF" w:rsidRPr="009513BF" w:rsidRDefault="009513BF" w:rsidP="009513BF">
      <w:pPr>
        <w:pStyle w:val="ListParagraph"/>
        <w:numPr>
          <w:ilvl w:val="0"/>
          <w:numId w:val="5"/>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drugim nivoima vlasti i fondovima – Zaštita i spašavanje od prirodnih i drugih</w:t>
      </w:r>
      <w:r w:rsidR="00C85D7E">
        <w:rPr>
          <w:rFonts w:asciiTheme="majorHAnsi" w:hAnsiTheme="majorHAnsi" w:cs="Arial"/>
          <w:sz w:val="24"/>
          <w:szCs w:val="24"/>
        </w:rPr>
        <w:t xml:space="preserve"> nesreća u iznosu od 5,0 mil KM</w:t>
      </w:r>
      <w:r w:rsidR="00D03608">
        <w:rPr>
          <w:rFonts w:asciiTheme="majorHAnsi" w:hAnsiTheme="majorHAnsi" w:cs="Arial"/>
          <w:sz w:val="24"/>
          <w:szCs w:val="24"/>
        </w:rPr>
        <w:t xml:space="preserve"> što predstavlja </w:t>
      </w:r>
      <w:r w:rsidR="00C85D7E">
        <w:rPr>
          <w:rFonts w:asciiTheme="majorHAnsi" w:hAnsiTheme="majorHAnsi" w:cs="Arial"/>
          <w:sz w:val="24"/>
          <w:szCs w:val="24"/>
        </w:rPr>
        <w:t xml:space="preserve"> povećanje u odnosu</w:t>
      </w:r>
      <w:r w:rsidR="00D03608">
        <w:rPr>
          <w:rFonts w:asciiTheme="majorHAnsi" w:hAnsiTheme="majorHAnsi" w:cs="Arial"/>
          <w:sz w:val="24"/>
          <w:szCs w:val="24"/>
        </w:rPr>
        <w:t xml:space="preserve"> na Budžet FBiH 2016.</w:t>
      </w:r>
    </w:p>
    <w:p w:rsidR="009513BF" w:rsidRPr="00A03F7B" w:rsidRDefault="009513BF" w:rsidP="00A03F7B">
      <w:pPr>
        <w:pStyle w:val="ListParagraph"/>
        <w:numPr>
          <w:ilvl w:val="0"/>
          <w:numId w:val="5"/>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drugim nivoima vlasti i fondovima – Razvoj turizma u Federac</w:t>
      </w:r>
      <w:r w:rsidR="00D03608">
        <w:rPr>
          <w:rFonts w:asciiTheme="majorHAnsi" w:hAnsiTheme="majorHAnsi" w:cs="Arial"/>
          <w:sz w:val="24"/>
          <w:szCs w:val="24"/>
        </w:rPr>
        <w:t xml:space="preserve">iji BiH u iznosu od </w:t>
      </w:r>
      <w:r w:rsidR="005C0C45">
        <w:rPr>
          <w:rFonts w:asciiTheme="majorHAnsi" w:hAnsiTheme="majorHAnsi" w:cs="Arial"/>
          <w:sz w:val="24"/>
          <w:szCs w:val="24"/>
        </w:rPr>
        <w:t>3</w:t>
      </w:r>
      <w:r w:rsidR="00D03608">
        <w:rPr>
          <w:rFonts w:asciiTheme="majorHAnsi" w:hAnsiTheme="majorHAnsi" w:cs="Arial"/>
          <w:sz w:val="24"/>
          <w:szCs w:val="24"/>
        </w:rPr>
        <w:t>,0 mil. KM što predstavlja  povećanje</w:t>
      </w:r>
      <w:r w:rsidR="005C0C45">
        <w:rPr>
          <w:rFonts w:asciiTheme="majorHAnsi" w:hAnsiTheme="majorHAnsi" w:cs="Arial"/>
          <w:sz w:val="24"/>
          <w:szCs w:val="24"/>
        </w:rPr>
        <w:t xml:space="preserve"> od 1,0 mil. KM</w:t>
      </w:r>
      <w:r w:rsidR="00D03608">
        <w:rPr>
          <w:rFonts w:asciiTheme="majorHAnsi" w:hAnsiTheme="majorHAnsi" w:cs="Arial"/>
          <w:sz w:val="24"/>
          <w:szCs w:val="24"/>
        </w:rPr>
        <w:t xml:space="preserve"> u odnosu na Budžet FBiH 2016.</w:t>
      </w:r>
    </w:p>
    <w:p w:rsidR="009513BF" w:rsidRPr="009513BF" w:rsidRDefault="009513BF" w:rsidP="009513BF">
      <w:pPr>
        <w:pStyle w:val="ListParagraph"/>
        <w:numPr>
          <w:ilvl w:val="0"/>
          <w:numId w:val="5"/>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drugim nivoima vlasti i fondovima – Sufinansiranje projekata putem Fondacije Odraz, smanjen je za 2,0 Mil. KM;</w:t>
      </w:r>
    </w:p>
    <w:p w:rsidR="009513BF" w:rsidRPr="009513BF" w:rsidRDefault="009513BF" w:rsidP="009513BF">
      <w:pPr>
        <w:pStyle w:val="ListParagraph"/>
        <w:numPr>
          <w:ilvl w:val="0"/>
          <w:numId w:val="5"/>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Tekući transferi drugim nivoima vlasti i </w:t>
      </w:r>
      <w:r w:rsidR="00D03608">
        <w:rPr>
          <w:rFonts w:asciiTheme="majorHAnsi" w:hAnsiTheme="majorHAnsi" w:cs="Arial"/>
          <w:sz w:val="24"/>
          <w:szCs w:val="24"/>
        </w:rPr>
        <w:t>fondovima – Transfer za elementarne nepogode i druge nesreć</w:t>
      </w:r>
      <w:r w:rsidR="005C0C45">
        <w:rPr>
          <w:rFonts w:asciiTheme="majorHAnsi" w:hAnsiTheme="majorHAnsi" w:cs="Arial"/>
          <w:sz w:val="24"/>
          <w:szCs w:val="24"/>
        </w:rPr>
        <w:t>e</w:t>
      </w:r>
      <w:r w:rsidRPr="009513BF">
        <w:rPr>
          <w:rFonts w:asciiTheme="majorHAnsi" w:hAnsiTheme="majorHAnsi" w:cs="Arial"/>
          <w:sz w:val="24"/>
          <w:szCs w:val="24"/>
        </w:rPr>
        <w:t>, smanjen za 1,2 mil. KM;</w:t>
      </w:r>
    </w:p>
    <w:p w:rsidR="009513BF" w:rsidRPr="009513BF" w:rsidRDefault="009513BF" w:rsidP="009513BF">
      <w:pPr>
        <w:pStyle w:val="ListParagraph"/>
        <w:numPr>
          <w:ilvl w:val="0"/>
          <w:numId w:val="5"/>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drugim nivoima vlasti i fondovima – Transfer po osnovu prava branilaca i članova n</w:t>
      </w:r>
      <w:r w:rsidR="00DF2B43">
        <w:rPr>
          <w:rFonts w:asciiTheme="majorHAnsi" w:hAnsiTheme="majorHAnsi" w:cs="Arial"/>
          <w:sz w:val="24"/>
          <w:szCs w:val="24"/>
        </w:rPr>
        <w:t>jihovih porodica, povećan za 1,1</w:t>
      </w:r>
      <w:r w:rsidRPr="009513BF">
        <w:rPr>
          <w:rFonts w:asciiTheme="majorHAnsi" w:hAnsiTheme="majorHAnsi" w:cs="Arial"/>
          <w:sz w:val="24"/>
          <w:szCs w:val="24"/>
        </w:rPr>
        <w:t xml:space="preserve"> mil. KM;</w:t>
      </w:r>
    </w:p>
    <w:p w:rsidR="009513BF" w:rsidRDefault="009513BF" w:rsidP="009513BF">
      <w:pPr>
        <w:pStyle w:val="ListParagraph"/>
        <w:numPr>
          <w:ilvl w:val="0"/>
          <w:numId w:val="5"/>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drugim nivoima vlasti i fondovima - Transfer za pokriće dijela penzija po osnovu priznatog posebnog staža iz člana 94 Zakona o PIO/MIO planiran je u iznosu od 110,3</w:t>
      </w:r>
      <w:r w:rsidR="00DF2B43">
        <w:rPr>
          <w:rFonts w:asciiTheme="majorHAnsi" w:hAnsiTheme="majorHAnsi" w:cs="Arial"/>
          <w:sz w:val="24"/>
          <w:szCs w:val="24"/>
        </w:rPr>
        <w:t xml:space="preserve"> mil. KM, uvećan za 1,1 mil. KM.</w:t>
      </w:r>
    </w:p>
    <w:p w:rsidR="00DF2B43" w:rsidRDefault="00DF2B43" w:rsidP="00DF2B43">
      <w:pPr>
        <w:spacing w:before="240" w:after="240" w:line="240" w:lineRule="auto"/>
        <w:jc w:val="both"/>
        <w:rPr>
          <w:rFonts w:asciiTheme="majorHAnsi" w:hAnsiTheme="majorHAnsi" w:cs="Arial"/>
          <w:sz w:val="24"/>
          <w:szCs w:val="24"/>
        </w:rPr>
      </w:pPr>
    </w:p>
    <w:p w:rsidR="00DF2B43" w:rsidRDefault="00DF2B43" w:rsidP="00DF2B43">
      <w:pPr>
        <w:spacing w:before="240" w:after="240" w:line="240" w:lineRule="auto"/>
        <w:jc w:val="both"/>
        <w:rPr>
          <w:rFonts w:asciiTheme="majorHAnsi" w:hAnsiTheme="majorHAnsi" w:cs="Arial"/>
          <w:sz w:val="24"/>
          <w:szCs w:val="24"/>
        </w:rPr>
      </w:pPr>
    </w:p>
    <w:p w:rsidR="00DF2B43" w:rsidRDefault="00DF2B43" w:rsidP="00DF2B43">
      <w:pPr>
        <w:spacing w:before="240" w:after="240" w:line="240" w:lineRule="auto"/>
        <w:jc w:val="both"/>
        <w:rPr>
          <w:rFonts w:asciiTheme="majorHAnsi" w:hAnsiTheme="majorHAnsi" w:cs="Arial"/>
          <w:sz w:val="24"/>
          <w:szCs w:val="24"/>
        </w:rPr>
      </w:pPr>
    </w:p>
    <w:p w:rsidR="00DF2B43" w:rsidRPr="00DF2B43" w:rsidRDefault="00DF2B43" w:rsidP="00DF2B43">
      <w:pPr>
        <w:spacing w:before="240" w:after="240" w:line="240" w:lineRule="auto"/>
        <w:jc w:val="both"/>
        <w:rPr>
          <w:rFonts w:asciiTheme="majorHAnsi" w:hAnsiTheme="majorHAnsi" w:cs="Arial"/>
          <w:sz w:val="24"/>
          <w:szCs w:val="24"/>
        </w:rPr>
      </w:pP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lastRenderedPageBreak/>
        <w:t>6142 – Tekući transferi pojedincima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Tekući transferi pojedincima planirani su u  </w:t>
      </w:r>
      <w:r w:rsidRPr="009513BF">
        <w:rPr>
          <w:rFonts w:asciiTheme="majorHAnsi" w:hAnsiTheme="majorHAnsi" w:cs="Arial"/>
          <w:sz w:val="24"/>
          <w:szCs w:val="24"/>
          <w:lang w:val="en-US"/>
        </w:rPr>
        <w:t>Prijedlogu odluke o izmjenama i dopunama Budžeta Federacije BiH za 2016. godinu</w:t>
      </w:r>
      <w:r w:rsidR="00DF2B43">
        <w:rPr>
          <w:rFonts w:asciiTheme="majorHAnsi" w:hAnsiTheme="majorHAnsi" w:cs="Arial"/>
          <w:sz w:val="24"/>
          <w:szCs w:val="24"/>
        </w:rPr>
        <w:t xml:space="preserve"> u iznosu od 470,8</w:t>
      </w:r>
      <w:r w:rsidRPr="009513BF">
        <w:rPr>
          <w:rFonts w:asciiTheme="majorHAnsi" w:hAnsiTheme="majorHAnsi" w:cs="Arial"/>
          <w:sz w:val="24"/>
          <w:szCs w:val="24"/>
        </w:rPr>
        <w:t xml:space="preserve"> mil. KM i manji su za 0,3 mil. KM u odnosu na Budžet Federacije BiH za 2016. godinu. Najznačajniji izmjene odnose se na:</w:t>
      </w:r>
    </w:p>
    <w:p w:rsidR="009513BF" w:rsidRPr="009513BF" w:rsidRDefault="009513BF" w:rsidP="009513BF">
      <w:pPr>
        <w:pStyle w:val="ListParagraph"/>
        <w:numPr>
          <w:ilvl w:val="0"/>
          <w:numId w:val="6"/>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pojedincima – Transfer za lica sa invaliditetom – neratni invalidi, planiran je u iznosu od 137,9 mil. KM, što je za 6,9 mil. KM više u odnosu na sredstva planirana u 2016. godini;</w:t>
      </w:r>
    </w:p>
    <w:p w:rsidR="009513BF" w:rsidRPr="009513BF" w:rsidRDefault="009513BF" w:rsidP="009513BF">
      <w:pPr>
        <w:pStyle w:val="ListParagraph"/>
        <w:numPr>
          <w:ilvl w:val="0"/>
          <w:numId w:val="6"/>
        </w:num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Tekući transferi pojedincima - za  invalidnine, planiran je u iznosu od 290,6 mil. KM, što je za 7,6 mil. KM manje u odnosu na sredstva planirana u 2016. godini;</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6143 – Tekući transferi neprofitnim organizacijama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Tekući transferi neprofitnim organizacijama planirani su u </w:t>
      </w:r>
      <w:r w:rsidRPr="009513BF">
        <w:rPr>
          <w:rFonts w:asciiTheme="majorHAnsi" w:hAnsiTheme="majorHAnsi" w:cs="Arial"/>
          <w:sz w:val="24"/>
          <w:szCs w:val="24"/>
          <w:lang w:val="en-US"/>
        </w:rPr>
        <w:t>Prijedlogu odluke o izmjenama i dopunama Budžeta Federacije BiH za 2016. godinu</w:t>
      </w:r>
      <w:r w:rsidRPr="009513BF">
        <w:rPr>
          <w:rFonts w:asciiTheme="majorHAnsi" w:hAnsiTheme="majorHAnsi" w:cs="Arial"/>
          <w:sz w:val="24"/>
          <w:szCs w:val="24"/>
        </w:rPr>
        <w:t xml:space="preserve"> iznosu od 22,4 mil. KM i manji su za 0,2 mil. KM. </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6144 – Subvencije javnim preduzećima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Subvencije javnim preduzećima planirane su u </w:t>
      </w:r>
      <w:r w:rsidRPr="009513BF">
        <w:rPr>
          <w:rFonts w:asciiTheme="majorHAnsi" w:hAnsiTheme="majorHAnsi" w:cs="Arial"/>
          <w:sz w:val="24"/>
          <w:szCs w:val="24"/>
          <w:lang w:val="en-US"/>
        </w:rPr>
        <w:t>Prijedlogu odluke o izmjenama i dopunama Budžeta Federacije BiH za 2016. godinu u</w:t>
      </w:r>
      <w:r w:rsidRPr="009513BF">
        <w:rPr>
          <w:rFonts w:asciiTheme="majorHAnsi" w:hAnsiTheme="majorHAnsi" w:cs="Arial"/>
          <w:sz w:val="24"/>
          <w:szCs w:val="24"/>
        </w:rPr>
        <w:t xml:space="preserve"> iznosu od 37,9 mil. KM i ostali su u nivou planiranog Budžeta Federacije BiH za 2016. godinu.</w:t>
      </w:r>
    </w:p>
    <w:p w:rsidR="009513BF" w:rsidRPr="009513BF" w:rsidRDefault="009513BF" w:rsidP="009513BF">
      <w:pPr>
        <w:spacing w:before="240" w:after="120" w:line="240" w:lineRule="auto"/>
        <w:jc w:val="both"/>
        <w:rPr>
          <w:rFonts w:asciiTheme="majorHAnsi" w:hAnsiTheme="majorHAnsi" w:cs="Arial"/>
          <w:sz w:val="24"/>
          <w:szCs w:val="24"/>
        </w:rPr>
      </w:pPr>
      <w:r w:rsidRPr="009513BF">
        <w:rPr>
          <w:rFonts w:asciiTheme="majorHAnsi" w:hAnsiTheme="majorHAnsi" w:cs="Arial"/>
          <w:b/>
          <w:sz w:val="24"/>
          <w:szCs w:val="24"/>
        </w:rPr>
        <w:t>6144 – Subvencije privatnim preduzećima i poduzetnicima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Subvencije privatnim preduzećima i poduzetnicima planirane su u </w:t>
      </w:r>
      <w:r w:rsidRPr="009513BF">
        <w:rPr>
          <w:rFonts w:asciiTheme="majorHAnsi" w:hAnsiTheme="majorHAnsi" w:cs="Arial"/>
          <w:sz w:val="24"/>
          <w:szCs w:val="24"/>
          <w:lang w:val="en-US"/>
        </w:rPr>
        <w:t>Prijedlogu odluke o izmjenama i dopunama Budžeta Federacije BiH za 2016. godinu u</w:t>
      </w:r>
      <w:r w:rsidR="002D53A9">
        <w:rPr>
          <w:rFonts w:asciiTheme="majorHAnsi" w:hAnsiTheme="majorHAnsi" w:cs="Arial"/>
          <w:sz w:val="24"/>
          <w:szCs w:val="24"/>
        </w:rPr>
        <w:t xml:space="preserve"> iznosu od 123,9</w:t>
      </w:r>
      <w:r w:rsidRPr="009513BF">
        <w:rPr>
          <w:rFonts w:asciiTheme="majorHAnsi" w:hAnsiTheme="majorHAnsi" w:cs="Arial"/>
          <w:sz w:val="24"/>
          <w:szCs w:val="24"/>
        </w:rPr>
        <w:t xml:space="preserve"> mil. KM. Najznačajniji transfer u ovoj kategoriji se odnosi na projekat finansiranja prvog zapošljavanja i samozapošljavanja, koji je</w:t>
      </w:r>
      <w:r w:rsidR="00101257">
        <w:rPr>
          <w:rFonts w:asciiTheme="majorHAnsi" w:hAnsiTheme="majorHAnsi" w:cs="Arial"/>
          <w:sz w:val="24"/>
          <w:szCs w:val="24"/>
        </w:rPr>
        <w:t xml:space="preserve"> u prijedlogu ove odluke ostao u istom iznosu </w:t>
      </w:r>
      <w:r w:rsidRPr="009513BF">
        <w:rPr>
          <w:rFonts w:asciiTheme="majorHAnsi" w:hAnsiTheme="majorHAnsi" w:cs="Arial"/>
          <w:sz w:val="24"/>
          <w:szCs w:val="24"/>
        </w:rPr>
        <w:t xml:space="preserve"> u odnosu na iznos koji je bio usvojen Budžetom Federacije BiH za 2016. godinu.</w:t>
      </w: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6</w:t>
      </w:r>
      <w:r w:rsidR="009513BF" w:rsidRPr="009513BF">
        <w:rPr>
          <w:rFonts w:asciiTheme="majorHAnsi" w:hAnsiTheme="majorHAnsi" w:cs="Arial"/>
          <w:b/>
          <w:sz w:val="24"/>
          <w:szCs w:val="24"/>
        </w:rPr>
        <w:t>.5. KAPITALNI TRANSFERI</w:t>
      </w:r>
    </w:p>
    <w:p w:rsidR="009513BF"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Kapitalni transferi planirani su u </w:t>
      </w:r>
      <w:r w:rsidRPr="009513BF">
        <w:rPr>
          <w:rFonts w:asciiTheme="majorHAnsi" w:hAnsiTheme="majorHAnsi" w:cs="Arial"/>
          <w:sz w:val="24"/>
          <w:szCs w:val="24"/>
          <w:lang w:val="en-US"/>
        </w:rPr>
        <w:t xml:space="preserve">Prijedlogu odluke o izmjenama i dopunama Budžeta Federacije BiH za 2016. </w:t>
      </w:r>
      <w:r w:rsidR="00DF2B43">
        <w:rPr>
          <w:rFonts w:asciiTheme="majorHAnsi" w:hAnsiTheme="majorHAnsi" w:cs="Arial"/>
          <w:sz w:val="24"/>
          <w:szCs w:val="24"/>
          <w:lang w:val="en-US"/>
        </w:rPr>
        <w:t>g</w:t>
      </w:r>
      <w:r w:rsidRPr="009513BF">
        <w:rPr>
          <w:rFonts w:asciiTheme="majorHAnsi" w:hAnsiTheme="majorHAnsi" w:cs="Arial"/>
          <w:sz w:val="24"/>
          <w:szCs w:val="24"/>
          <w:lang w:val="en-US"/>
        </w:rPr>
        <w:t>odinu</w:t>
      </w:r>
      <w:r w:rsidR="00DF2B43">
        <w:rPr>
          <w:rFonts w:asciiTheme="majorHAnsi" w:hAnsiTheme="majorHAnsi" w:cs="Arial"/>
          <w:sz w:val="24"/>
          <w:szCs w:val="24"/>
          <w:lang w:val="en-US"/>
        </w:rPr>
        <w:t xml:space="preserve"> iznose 13,1 mil. KM i</w:t>
      </w:r>
      <w:r w:rsidR="00B404DF">
        <w:rPr>
          <w:rFonts w:asciiTheme="majorHAnsi" w:hAnsiTheme="majorHAnsi" w:cs="Arial"/>
          <w:sz w:val="24"/>
          <w:szCs w:val="24"/>
        </w:rPr>
        <w:t xml:space="preserve"> manji u iznosu od 3,3</w:t>
      </w:r>
      <w:r w:rsidRPr="009513BF">
        <w:rPr>
          <w:rFonts w:asciiTheme="majorHAnsi" w:hAnsiTheme="majorHAnsi" w:cs="Arial"/>
          <w:sz w:val="24"/>
          <w:szCs w:val="24"/>
        </w:rPr>
        <w:t xml:space="preserve"> mil. KM u odnosu na iznos iz Budžeta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6151 – Kapitalni transferi drugim nivoima vlasti i fondovima</w:t>
      </w:r>
    </w:p>
    <w:p w:rsidR="009513BF"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Kapitalni transferi drugim nivoima vlasti i fondovima planirani su u iznosu od 2,0 mil. KM što je za 0,3 mil. KM </w:t>
      </w:r>
      <w:r w:rsidR="00DF2B43">
        <w:rPr>
          <w:rFonts w:asciiTheme="majorHAnsi" w:hAnsiTheme="majorHAnsi" w:cs="Arial"/>
          <w:sz w:val="24"/>
          <w:szCs w:val="24"/>
        </w:rPr>
        <w:t>manje</w:t>
      </w:r>
      <w:r w:rsidRPr="009513BF">
        <w:rPr>
          <w:rFonts w:asciiTheme="majorHAnsi" w:hAnsiTheme="majorHAnsi" w:cs="Arial"/>
          <w:sz w:val="24"/>
          <w:szCs w:val="24"/>
        </w:rPr>
        <w:t xml:space="preserve"> u odnosu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6152 – Kapitalni transferi pojedincima</w:t>
      </w:r>
    </w:p>
    <w:p w:rsid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Kapitalni transferi pojedincima iznose 2,0 mil. KM i ostaje nepromjenjen iznos u odnosu na Budžet Federacije BiH za 2016. godinu.</w:t>
      </w:r>
    </w:p>
    <w:p w:rsidR="00DF2B43" w:rsidRPr="009513BF" w:rsidRDefault="00DF2B43" w:rsidP="009513BF">
      <w:pPr>
        <w:spacing w:before="240" w:after="240" w:line="240" w:lineRule="auto"/>
        <w:jc w:val="both"/>
        <w:rPr>
          <w:rFonts w:asciiTheme="majorHAnsi" w:hAnsiTheme="majorHAnsi" w:cs="Arial"/>
          <w:sz w:val="24"/>
          <w:szCs w:val="24"/>
        </w:rPr>
      </w:pP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lastRenderedPageBreak/>
        <w:t>6153 – Kapitalni transferi neprofitnim organizacijama</w:t>
      </w:r>
    </w:p>
    <w:p w:rsidR="00A03F7B"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Kapitalni transferi neprofitnim organizacijama planirani su u iznosu od 2,9 mil. KM i ostaje nepromjenjen iznos u odnosu na Budžet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6154 – Kapitalni transferi javnim preduzećima</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sz w:val="24"/>
          <w:szCs w:val="24"/>
        </w:rPr>
        <w:t>Kapitalni transfer</w:t>
      </w:r>
      <w:r w:rsidR="00B404DF">
        <w:rPr>
          <w:rFonts w:asciiTheme="majorHAnsi" w:hAnsiTheme="majorHAnsi" w:cs="Arial"/>
          <w:sz w:val="24"/>
          <w:szCs w:val="24"/>
        </w:rPr>
        <w:t xml:space="preserve">i javnim preduzećima planirani su iznosu od 6,1 mil. KM i identični su </w:t>
      </w:r>
      <w:r w:rsidRPr="009513BF">
        <w:rPr>
          <w:rFonts w:asciiTheme="majorHAnsi" w:hAnsiTheme="majorHAnsi" w:cs="Arial"/>
          <w:sz w:val="24"/>
          <w:szCs w:val="24"/>
        </w:rPr>
        <w:t xml:space="preserve"> na Budžet</w:t>
      </w:r>
      <w:r w:rsidR="00B404DF">
        <w:rPr>
          <w:rFonts w:asciiTheme="majorHAnsi" w:hAnsiTheme="majorHAnsi" w:cs="Arial"/>
          <w:sz w:val="24"/>
          <w:szCs w:val="24"/>
        </w:rPr>
        <w:t xml:space="preserve">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6155 Kapitalni transferi privatnim preduzećima i poduzetnicima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Kapitalni transferi privatnim preduzećima i poduzetnicima- Japanski grant- 2KR, </w:t>
      </w:r>
      <w:r w:rsidRPr="009513BF">
        <w:rPr>
          <w:rFonts w:asciiTheme="majorHAnsi" w:hAnsiTheme="majorHAnsi" w:cs="Arial"/>
          <w:sz w:val="24"/>
          <w:szCs w:val="24"/>
          <w:lang w:val="en-US"/>
        </w:rPr>
        <w:t>Prijedlogom odluke o izmjenama i dopunama Budžeta Federacije BiH za 2016. godinu</w:t>
      </w:r>
      <w:r w:rsidRPr="009513BF">
        <w:rPr>
          <w:rFonts w:asciiTheme="majorHAnsi" w:hAnsiTheme="majorHAnsi" w:cs="Arial"/>
          <w:sz w:val="24"/>
          <w:szCs w:val="24"/>
        </w:rPr>
        <w:t xml:space="preserve"> nije planiran.</w:t>
      </w: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6</w:t>
      </w:r>
      <w:r w:rsidR="009513BF" w:rsidRPr="009513BF">
        <w:rPr>
          <w:rFonts w:asciiTheme="majorHAnsi" w:hAnsiTheme="majorHAnsi" w:cs="Arial"/>
          <w:b/>
          <w:sz w:val="24"/>
          <w:szCs w:val="24"/>
        </w:rPr>
        <w:t>.6. IZDACI ZA KAMATE</w:t>
      </w:r>
    </w:p>
    <w:p w:rsidR="009513BF"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Izdaci za kamate planirani su u </w:t>
      </w:r>
      <w:r w:rsidRPr="009513BF">
        <w:rPr>
          <w:rFonts w:asciiTheme="majorHAnsi" w:hAnsiTheme="majorHAnsi" w:cs="Arial"/>
          <w:sz w:val="24"/>
          <w:szCs w:val="24"/>
          <w:lang w:val="en-US"/>
        </w:rPr>
        <w:t>Prijedlogu odluke o izmjenama i dopunama Budžeta Federacije BiH za 2016. godinu</w:t>
      </w:r>
      <w:r w:rsidRPr="009513BF">
        <w:rPr>
          <w:rFonts w:asciiTheme="majorHAnsi" w:hAnsiTheme="majorHAnsi" w:cs="Arial"/>
          <w:sz w:val="24"/>
          <w:szCs w:val="24"/>
        </w:rPr>
        <w:t xml:space="preserve"> iznosu od 120,3 mil. KM, što je za 3,0 mil. KM manje u odnosu na sredstva planirana na ovoj poziciji u 2016. godini. </w:t>
      </w: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6</w:t>
      </w:r>
      <w:r w:rsidR="009513BF" w:rsidRPr="00716AB5">
        <w:rPr>
          <w:rFonts w:asciiTheme="majorHAnsi" w:hAnsiTheme="majorHAnsi" w:cs="Arial"/>
          <w:b/>
          <w:sz w:val="24"/>
          <w:szCs w:val="24"/>
        </w:rPr>
        <w:t>.7. IZDACI ZA NABAVKU STALNIH SREDSTAVA</w:t>
      </w:r>
    </w:p>
    <w:p w:rsidR="005E7F90" w:rsidRPr="009513BF" w:rsidRDefault="009513BF" w:rsidP="009513BF">
      <w:pPr>
        <w:spacing w:before="24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Izdaci za nabavku stalnih sredstava planirani su u </w:t>
      </w:r>
      <w:r w:rsidRPr="009513BF">
        <w:rPr>
          <w:rFonts w:asciiTheme="majorHAnsi" w:hAnsiTheme="majorHAnsi" w:cs="Arial"/>
          <w:sz w:val="24"/>
          <w:szCs w:val="24"/>
          <w:lang w:val="en-US"/>
        </w:rPr>
        <w:t>Prijedlogu odluke o izmjenama i dopunama Budžeta Federacije BiH za 2016. godinu</w:t>
      </w:r>
      <w:r w:rsidR="00D40FF2">
        <w:rPr>
          <w:rFonts w:asciiTheme="majorHAnsi" w:hAnsiTheme="majorHAnsi" w:cs="Arial"/>
          <w:sz w:val="24"/>
          <w:szCs w:val="24"/>
        </w:rPr>
        <w:t xml:space="preserve"> u iznosu od 29,5</w:t>
      </w:r>
      <w:r w:rsidR="00D03608">
        <w:rPr>
          <w:rFonts w:asciiTheme="majorHAnsi" w:hAnsiTheme="majorHAnsi" w:cs="Arial"/>
          <w:sz w:val="24"/>
          <w:szCs w:val="24"/>
        </w:rPr>
        <w:t xml:space="preserve"> mil. KM što predstavlja smanjenje od 4,4 mil. KM u odnosu na Budžet FBiH 2016.</w:t>
      </w:r>
      <w:r w:rsidRPr="009513BF">
        <w:rPr>
          <w:rFonts w:asciiTheme="majorHAnsi" w:hAnsiTheme="majorHAnsi" w:cs="Arial"/>
          <w:sz w:val="24"/>
          <w:szCs w:val="24"/>
        </w:rPr>
        <w:t xml:space="preserve"> </w:t>
      </w:r>
    </w:p>
    <w:p w:rsidR="009513BF" w:rsidRPr="009513BF" w:rsidRDefault="009539DA" w:rsidP="009513BF">
      <w:pPr>
        <w:spacing w:before="240" w:after="240" w:line="240" w:lineRule="auto"/>
        <w:jc w:val="both"/>
        <w:rPr>
          <w:rFonts w:asciiTheme="majorHAnsi" w:hAnsiTheme="majorHAnsi" w:cs="Arial"/>
          <w:b/>
          <w:sz w:val="24"/>
          <w:szCs w:val="24"/>
        </w:rPr>
      </w:pPr>
      <w:r>
        <w:rPr>
          <w:rFonts w:asciiTheme="majorHAnsi" w:hAnsiTheme="majorHAnsi" w:cs="Arial"/>
          <w:b/>
          <w:sz w:val="24"/>
          <w:szCs w:val="24"/>
        </w:rPr>
        <w:t>6</w:t>
      </w:r>
      <w:r w:rsidR="009513BF" w:rsidRPr="009513BF">
        <w:rPr>
          <w:rFonts w:asciiTheme="majorHAnsi" w:hAnsiTheme="majorHAnsi" w:cs="Arial"/>
          <w:b/>
          <w:sz w:val="24"/>
          <w:szCs w:val="24"/>
        </w:rPr>
        <w:t>.8. IZDACI ZA FINANSIJSKU IMOVINU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8225 – Izdaci za kupovinu dionica privatnih preduzeća i učešće u zajedničkim ulaganjima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Na poziciji izdaci za kupovinu dionica privatnih preduzeća i učešće u zajedničkim ulaganjima planiran je iznos od 6,2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8226 – Ostala domaća pozajmljivanja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Ostala domaća pozajmljivanja planirana su u iznosu od 10,4 mil. KM i to za:</w:t>
      </w:r>
    </w:p>
    <w:p w:rsidR="009513BF" w:rsidRPr="009513BF" w:rsidRDefault="009513BF" w:rsidP="009513BF">
      <w:pPr>
        <w:pStyle w:val="ListParagraph"/>
        <w:numPr>
          <w:ilvl w:val="0"/>
          <w:numId w:val="19"/>
        </w:num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Projekte Federalnog ministarstva energije, rudarstva i industrije i Federalnog ministarstva razvoja, poduzetništva i obrta koji se realiziju preko Union banke;</w:t>
      </w:r>
    </w:p>
    <w:p w:rsidR="009513BF" w:rsidRPr="009513BF" w:rsidRDefault="009513BF" w:rsidP="009513BF">
      <w:pPr>
        <w:pStyle w:val="ListParagraph"/>
        <w:numPr>
          <w:ilvl w:val="0"/>
          <w:numId w:val="19"/>
        </w:num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Subordinirani kredit Union banke d.d. Sarajevo kojim Vlada Federacije BiH ima namjeru ojačati Union banku d.d. Sarajevo, te joj na taj način omogućiti otvaranje dodatne povoljne kreditne linije za privredne subjekte i fizička lica;</w:t>
      </w:r>
    </w:p>
    <w:p w:rsidR="009513BF" w:rsidRDefault="009513BF" w:rsidP="009513BF">
      <w:pPr>
        <w:pStyle w:val="ListParagraph"/>
        <w:numPr>
          <w:ilvl w:val="0"/>
          <w:numId w:val="19"/>
        </w:num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Trajni revolving fond u iznosu od 8,4 mil. KM.</w:t>
      </w:r>
    </w:p>
    <w:p w:rsidR="003C1A08" w:rsidRPr="003C1A08" w:rsidRDefault="003C1A08" w:rsidP="003C1A08">
      <w:pPr>
        <w:spacing w:before="120" w:after="240" w:line="240" w:lineRule="auto"/>
        <w:jc w:val="both"/>
        <w:rPr>
          <w:rFonts w:asciiTheme="majorHAnsi" w:hAnsiTheme="majorHAnsi" w:cs="Arial"/>
          <w:sz w:val="24"/>
          <w:szCs w:val="24"/>
        </w:rPr>
      </w:pPr>
    </w:p>
    <w:p w:rsidR="009513BF" w:rsidRPr="009513BF" w:rsidRDefault="009539DA" w:rsidP="009513BF">
      <w:pPr>
        <w:spacing w:before="120" w:after="240" w:line="240" w:lineRule="auto"/>
        <w:jc w:val="both"/>
        <w:rPr>
          <w:rFonts w:asciiTheme="majorHAnsi" w:hAnsiTheme="majorHAnsi" w:cs="Arial"/>
          <w:sz w:val="24"/>
          <w:szCs w:val="24"/>
        </w:rPr>
      </w:pPr>
      <w:r>
        <w:rPr>
          <w:rFonts w:asciiTheme="majorHAnsi" w:hAnsiTheme="majorHAnsi" w:cs="Arial"/>
          <w:b/>
          <w:sz w:val="24"/>
          <w:szCs w:val="24"/>
        </w:rPr>
        <w:lastRenderedPageBreak/>
        <w:t>6</w:t>
      </w:r>
      <w:r w:rsidR="009513BF" w:rsidRPr="009513BF">
        <w:rPr>
          <w:rFonts w:asciiTheme="majorHAnsi" w:hAnsiTheme="majorHAnsi" w:cs="Arial"/>
          <w:b/>
          <w:sz w:val="24"/>
          <w:szCs w:val="24"/>
        </w:rPr>
        <w:t xml:space="preserve">.9. IZDACI ZA OTPLATE DUGOVA </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8231 – Otplate dugova primljenih kroz Državu</w:t>
      </w:r>
    </w:p>
    <w:p w:rsidR="00A03F7B"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Otplate dugova primljenih kroz Državu iznose 404.8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8232 – Vanjske otplate</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Vanjske otpla</w:t>
      </w:r>
      <w:r w:rsidR="00ED09B6">
        <w:rPr>
          <w:rFonts w:asciiTheme="majorHAnsi" w:hAnsiTheme="majorHAnsi" w:cs="Arial"/>
          <w:sz w:val="24"/>
          <w:szCs w:val="24"/>
        </w:rPr>
        <w:t>te planirane su u iznosu od 4,0</w:t>
      </w:r>
      <w:r w:rsidR="00101257">
        <w:rPr>
          <w:rFonts w:asciiTheme="majorHAnsi" w:hAnsiTheme="majorHAnsi" w:cs="Arial"/>
          <w:sz w:val="24"/>
          <w:szCs w:val="24"/>
        </w:rPr>
        <w:t xml:space="preserve"> </w:t>
      </w:r>
      <w:r w:rsidRPr="009513BF">
        <w:rPr>
          <w:rFonts w:asciiTheme="majorHAnsi" w:hAnsiTheme="majorHAnsi" w:cs="Arial"/>
          <w:sz w:val="24"/>
          <w:szCs w:val="24"/>
        </w:rPr>
        <w:t>mil. KM i na nivou su sredstava planiranih u Budžetom Federacije BiH za 2016. godinu.</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8233 – Otplate domaćeg pozajmljivanja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Otplate domaćeg pozajmljivanja planirane su u iznosu od 340,0 mil. KM i manji su za 60,0 mil. KM u odnosu na sredstva planirana Budžetom Federacije BiH za 2016. godinu. </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8234 – Otplate unutrašnjeg duga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Otplate unutrašnjeg duga iznose 163,2 mil. KM  i u odnosu na Budžet Federacije BiH za 2016. godinu manje su za 1,4 mil. KM.</w:t>
      </w:r>
    </w:p>
    <w:p w:rsidR="009513BF" w:rsidRPr="009513BF" w:rsidRDefault="009513BF" w:rsidP="009513BF">
      <w:pPr>
        <w:spacing w:before="240" w:after="120" w:line="240" w:lineRule="auto"/>
        <w:jc w:val="both"/>
        <w:rPr>
          <w:rFonts w:asciiTheme="majorHAnsi" w:hAnsiTheme="majorHAnsi" w:cs="Arial"/>
          <w:b/>
          <w:sz w:val="24"/>
          <w:szCs w:val="24"/>
        </w:rPr>
      </w:pPr>
      <w:r w:rsidRPr="009513BF">
        <w:rPr>
          <w:rFonts w:asciiTheme="majorHAnsi" w:hAnsiTheme="majorHAnsi" w:cs="Arial"/>
          <w:b/>
          <w:sz w:val="24"/>
          <w:szCs w:val="24"/>
        </w:rPr>
        <w:t>8235 – Otplate duga po izdatim garancijama</w:t>
      </w:r>
    </w:p>
    <w:p w:rsidR="009513BF" w:rsidRPr="009513BF" w:rsidRDefault="009513BF" w:rsidP="009513BF">
      <w:pPr>
        <w:spacing w:before="120" w:after="240" w:line="240" w:lineRule="auto"/>
        <w:jc w:val="both"/>
        <w:rPr>
          <w:rFonts w:asciiTheme="majorHAnsi" w:hAnsiTheme="majorHAnsi" w:cs="Arial"/>
          <w:sz w:val="24"/>
          <w:szCs w:val="24"/>
        </w:rPr>
      </w:pPr>
      <w:r w:rsidRPr="009513BF">
        <w:rPr>
          <w:rFonts w:asciiTheme="majorHAnsi" w:hAnsiTheme="majorHAnsi" w:cs="Arial"/>
          <w:sz w:val="24"/>
          <w:szCs w:val="24"/>
        </w:rPr>
        <w:t xml:space="preserve">Otplate duga po izdatim garancijama iznose 0,1 mil. KM što je za 1,4 mil. KM </w:t>
      </w:r>
      <w:r w:rsidR="00ED09B6">
        <w:rPr>
          <w:rFonts w:asciiTheme="majorHAnsi" w:hAnsiTheme="majorHAnsi" w:cs="Arial"/>
          <w:sz w:val="24"/>
          <w:szCs w:val="24"/>
        </w:rPr>
        <w:t xml:space="preserve">manje </w:t>
      </w:r>
      <w:r w:rsidRPr="009513BF">
        <w:rPr>
          <w:rFonts w:asciiTheme="majorHAnsi" w:hAnsiTheme="majorHAnsi" w:cs="Arial"/>
          <w:sz w:val="24"/>
          <w:szCs w:val="24"/>
        </w:rPr>
        <w:t>odnosu na Budžet Federacije BiH za 2016. godinu.</w:t>
      </w:r>
    </w:p>
    <w:p w:rsidR="009513BF" w:rsidRDefault="009513BF"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A03F7B" w:rsidRDefault="00A03F7B" w:rsidP="009513BF">
      <w:pPr>
        <w:spacing w:before="120" w:after="240" w:line="240" w:lineRule="auto"/>
        <w:jc w:val="both"/>
        <w:rPr>
          <w:rFonts w:ascii="Arial" w:hAnsi="Arial" w:cs="Arial"/>
          <w:sz w:val="24"/>
          <w:szCs w:val="24"/>
        </w:rPr>
      </w:pPr>
    </w:p>
    <w:p w:rsidR="009513BF" w:rsidRPr="009513BF" w:rsidRDefault="009513BF" w:rsidP="009513BF">
      <w:pPr>
        <w:jc w:val="both"/>
        <w:rPr>
          <w:rFonts w:asciiTheme="majorHAnsi" w:hAnsiTheme="majorHAnsi" w:cs="Arial"/>
          <w:sz w:val="24"/>
          <w:szCs w:val="24"/>
          <w:lang w:val="en-US"/>
        </w:rPr>
      </w:pPr>
    </w:p>
    <w:sectPr w:rsidR="009513BF" w:rsidRPr="009513BF" w:rsidSect="00B364B6">
      <w:footerReference w:type="default" r:id="rId16"/>
      <w:pgSz w:w="12240" w:h="15840" w:code="1"/>
      <w:pgMar w:top="1440" w:right="1440" w:bottom="1440" w:left="1440"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B22" w:rsidRDefault="00E17B22" w:rsidP="00FA0DE8">
      <w:pPr>
        <w:spacing w:after="0" w:line="240" w:lineRule="auto"/>
      </w:pPr>
      <w:r>
        <w:separator/>
      </w:r>
    </w:p>
  </w:endnote>
  <w:endnote w:type="continuationSeparator" w:id="0">
    <w:p w:rsidR="00E17B22" w:rsidRDefault="00E17B22" w:rsidP="00FA0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C2D69B" w:themeColor="accent3" w:themeTint="99"/>
      </w:tblBorders>
      <w:tblLook w:val="04A0" w:firstRow="1" w:lastRow="0" w:firstColumn="1" w:lastColumn="0" w:noHBand="0" w:noVBand="1"/>
    </w:tblPr>
    <w:tblGrid>
      <w:gridCol w:w="7864"/>
      <w:gridCol w:w="1496"/>
    </w:tblGrid>
    <w:tr w:rsidR="0059403E" w:rsidRPr="007B681A" w:rsidTr="0059403E">
      <w:trPr>
        <w:trHeight w:val="360"/>
      </w:trPr>
      <w:tc>
        <w:tcPr>
          <w:tcW w:w="4201" w:type="pct"/>
          <w:vAlign w:val="center"/>
        </w:tcPr>
        <w:p w:rsidR="0059403E" w:rsidRPr="00344311" w:rsidRDefault="0059403E" w:rsidP="00344311">
          <w:pPr>
            <w:pStyle w:val="Footer"/>
            <w:rPr>
              <w:rFonts w:asciiTheme="majorHAnsi" w:hAnsiTheme="majorHAnsi" w:cs="Arial"/>
            </w:rPr>
          </w:pPr>
          <w:r w:rsidRPr="00344311">
            <w:rPr>
              <w:rFonts w:asciiTheme="majorHAnsi" w:hAnsiTheme="majorHAnsi" w:cs="Arial"/>
              <w:sz w:val="20"/>
            </w:rPr>
            <w:t>Obrazloženje Prijedloga odluke o izmjenama i dopunama Budžeta FBiH za 201</w:t>
          </w:r>
          <w:r w:rsidR="00344311">
            <w:rPr>
              <w:rFonts w:asciiTheme="majorHAnsi" w:hAnsiTheme="majorHAnsi" w:cs="Arial"/>
              <w:sz w:val="20"/>
            </w:rPr>
            <w:t>6</w:t>
          </w:r>
          <w:r w:rsidRPr="00344311">
            <w:rPr>
              <w:rFonts w:asciiTheme="majorHAnsi" w:hAnsiTheme="majorHAnsi" w:cs="Arial"/>
              <w:sz w:val="20"/>
            </w:rPr>
            <w:t>. godinu</w:t>
          </w:r>
        </w:p>
      </w:tc>
      <w:tc>
        <w:tcPr>
          <w:tcW w:w="799" w:type="pct"/>
          <w:shd w:val="clear" w:color="auto" w:fill="C2D69B" w:themeFill="accent3" w:themeFillTint="99"/>
        </w:tcPr>
        <w:p w:rsidR="0059403E" w:rsidRPr="00344311" w:rsidRDefault="0059403E">
          <w:pPr>
            <w:pStyle w:val="Footer"/>
            <w:jc w:val="right"/>
            <w:rPr>
              <w:rFonts w:asciiTheme="majorHAnsi" w:hAnsiTheme="majorHAnsi"/>
              <w:color w:val="FFFFFF" w:themeColor="background1"/>
              <w:sz w:val="24"/>
              <w:szCs w:val="24"/>
            </w:rPr>
          </w:pPr>
          <w:r w:rsidRPr="00344311">
            <w:rPr>
              <w:rFonts w:asciiTheme="majorHAnsi" w:hAnsiTheme="majorHAnsi"/>
              <w:sz w:val="24"/>
              <w:szCs w:val="24"/>
            </w:rPr>
            <w:fldChar w:fldCharType="begin"/>
          </w:r>
          <w:r w:rsidRPr="00344311">
            <w:rPr>
              <w:rFonts w:asciiTheme="majorHAnsi" w:hAnsiTheme="majorHAnsi"/>
              <w:sz w:val="24"/>
              <w:szCs w:val="24"/>
            </w:rPr>
            <w:instrText xml:space="preserve"> PAGE    \* MERGEFORMAT </w:instrText>
          </w:r>
          <w:r w:rsidRPr="00344311">
            <w:rPr>
              <w:rFonts w:asciiTheme="majorHAnsi" w:hAnsiTheme="majorHAnsi"/>
              <w:sz w:val="24"/>
              <w:szCs w:val="24"/>
            </w:rPr>
            <w:fldChar w:fldCharType="separate"/>
          </w:r>
          <w:r w:rsidR="00073FDC">
            <w:rPr>
              <w:rFonts w:asciiTheme="majorHAnsi" w:hAnsiTheme="majorHAnsi"/>
              <w:sz w:val="24"/>
              <w:szCs w:val="24"/>
            </w:rPr>
            <w:t>1</w:t>
          </w:r>
          <w:r w:rsidRPr="00344311">
            <w:rPr>
              <w:rFonts w:asciiTheme="majorHAnsi" w:hAnsiTheme="majorHAnsi"/>
              <w:sz w:val="24"/>
              <w:szCs w:val="24"/>
            </w:rPr>
            <w:fldChar w:fldCharType="end"/>
          </w:r>
        </w:p>
      </w:tc>
    </w:tr>
  </w:tbl>
  <w:p w:rsidR="0059403E" w:rsidRDefault="005940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B22" w:rsidRDefault="00E17B22" w:rsidP="00FA0DE8">
      <w:pPr>
        <w:spacing w:after="0" w:line="240" w:lineRule="auto"/>
      </w:pPr>
      <w:r>
        <w:separator/>
      </w:r>
    </w:p>
  </w:footnote>
  <w:footnote w:type="continuationSeparator" w:id="0">
    <w:p w:rsidR="00E17B22" w:rsidRDefault="00E17B22" w:rsidP="00FA0DE8">
      <w:pPr>
        <w:spacing w:after="0" w:line="240" w:lineRule="auto"/>
      </w:pPr>
      <w:r>
        <w:continuationSeparator/>
      </w:r>
    </w:p>
  </w:footnote>
  <w:footnote w:id="1">
    <w:p w:rsidR="00231623" w:rsidRPr="00231623" w:rsidRDefault="00231623" w:rsidP="00231623">
      <w:pPr>
        <w:autoSpaceDE w:val="0"/>
        <w:autoSpaceDN w:val="0"/>
        <w:adjustRightInd w:val="0"/>
        <w:spacing w:after="0" w:line="240" w:lineRule="auto"/>
        <w:jc w:val="both"/>
        <w:rPr>
          <w:rFonts w:asciiTheme="majorHAnsi" w:hAnsiTheme="majorHAnsi" w:cs="Arial"/>
          <w:sz w:val="24"/>
          <w:szCs w:val="24"/>
        </w:rPr>
      </w:pPr>
      <w:r>
        <w:rPr>
          <w:rStyle w:val="FootnoteReference"/>
        </w:rPr>
        <w:footnoteRef/>
      </w:r>
      <w:r>
        <w:t xml:space="preserve"> </w:t>
      </w:r>
      <w:r w:rsidRPr="00C334D4">
        <w:rPr>
          <w:sz w:val="18"/>
        </w:rPr>
        <w:t>Direkcija za ekonomsko planiranje BiH, „DOB – Makroekonomske pro</w:t>
      </w:r>
      <w:r>
        <w:rPr>
          <w:sz w:val="18"/>
        </w:rPr>
        <w:t>jekcije 2017 – 2019“, mart 2016</w:t>
      </w:r>
      <w:r w:rsidRPr="00C334D4">
        <w:rPr>
          <w:sz w:val="18"/>
        </w:rPr>
        <w:t>. godine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81DEADAA"/>
    <w:lvl w:ilvl="0">
      <w:start w:val="1"/>
      <w:numFmt w:val="bullet"/>
      <w:pStyle w:val="ListBullet"/>
      <w:lvlText w:val=""/>
      <w:lvlJc w:val="left"/>
      <w:pPr>
        <w:tabs>
          <w:tab w:val="num" w:pos="720"/>
        </w:tabs>
        <w:ind w:left="720" w:hanging="720"/>
      </w:pPr>
      <w:rPr>
        <w:rFonts w:ascii="Symbol" w:hAnsi="Symbol" w:hint="default"/>
      </w:rPr>
    </w:lvl>
  </w:abstractNum>
  <w:abstractNum w:abstractNumId="1">
    <w:nsid w:val="03493119"/>
    <w:multiLevelType w:val="hybridMultilevel"/>
    <w:tmpl w:val="88CA1E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8959E0"/>
    <w:multiLevelType w:val="hybridMultilevel"/>
    <w:tmpl w:val="78E2D0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92D4B"/>
    <w:multiLevelType w:val="hybridMultilevel"/>
    <w:tmpl w:val="849238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A31C7C"/>
    <w:multiLevelType w:val="hybridMultilevel"/>
    <w:tmpl w:val="7D583D8A"/>
    <w:lvl w:ilvl="0" w:tplc="04090005">
      <w:start w:val="1"/>
      <w:numFmt w:val="bullet"/>
      <w:lvlText w:val=""/>
      <w:lvlJc w:val="left"/>
      <w:pPr>
        <w:ind w:left="776" w:hanging="360"/>
      </w:pPr>
      <w:rPr>
        <w:rFonts w:ascii="Wingdings" w:hAnsi="Wingdings" w:hint="default"/>
      </w:rPr>
    </w:lvl>
    <w:lvl w:ilvl="1" w:tplc="04090005">
      <w:start w:val="1"/>
      <w:numFmt w:val="bullet"/>
      <w:lvlText w:val=""/>
      <w:lvlJc w:val="left"/>
      <w:pPr>
        <w:ind w:left="1496" w:hanging="360"/>
      </w:pPr>
      <w:rPr>
        <w:rFonts w:ascii="Wingdings" w:hAnsi="Wingdings"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nsid w:val="2A62267A"/>
    <w:multiLevelType w:val="hybridMultilevel"/>
    <w:tmpl w:val="AB90445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B896FCB"/>
    <w:multiLevelType w:val="hybridMultilevel"/>
    <w:tmpl w:val="1B3640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766517"/>
    <w:multiLevelType w:val="hybridMultilevel"/>
    <w:tmpl w:val="FFF2A0FC"/>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9F7419"/>
    <w:multiLevelType w:val="hybridMultilevel"/>
    <w:tmpl w:val="571C43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6E2DDA"/>
    <w:multiLevelType w:val="hybridMultilevel"/>
    <w:tmpl w:val="6B0A00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3E2EE0"/>
    <w:multiLevelType w:val="hybridMultilevel"/>
    <w:tmpl w:val="1C2628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9B7F68"/>
    <w:multiLevelType w:val="hybridMultilevel"/>
    <w:tmpl w:val="3F4EED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0E5375"/>
    <w:multiLevelType w:val="hybridMultilevel"/>
    <w:tmpl w:val="F81AB7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980020"/>
    <w:multiLevelType w:val="hybridMultilevel"/>
    <w:tmpl w:val="09428CD8"/>
    <w:lvl w:ilvl="0" w:tplc="04090005">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nsid w:val="5E4955F5"/>
    <w:multiLevelType w:val="hybridMultilevel"/>
    <w:tmpl w:val="99CEDCFE"/>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B4729C"/>
    <w:multiLevelType w:val="hybridMultilevel"/>
    <w:tmpl w:val="2116C2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F66942"/>
    <w:multiLevelType w:val="hybridMultilevel"/>
    <w:tmpl w:val="CD88634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AF0B0E"/>
    <w:multiLevelType w:val="hybridMultilevel"/>
    <w:tmpl w:val="974EF3EE"/>
    <w:lvl w:ilvl="0" w:tplc="141A0005">
      <w:start w:val="1"/>
      <w:numFmt w:val="bullet"/>
      <w:lvlText w:val=""/>
      <w:lvlJc w:val="left"/>
      <w:pPr>
        <w:ind w:left="720" w:hanging="360"/>
      </w:pPr>
      <w:rPr>
        <w:rFonts w:ascii="Wingdings" w:hAnsi="Wingdings" w:hint="default"/>
      </w:rPr>
    </w:lvl>
    <w:lvl w:ilvl="1" w:tplc="141A0003">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8">
    <w:nsid w:val="74C45871"/>
    <w:multiLevelType w:val="hybridMultilevel"/>
    <w:tmpl w:val="5CEC3E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227969"/>
    <w:multiLevelType w:val="hybridMultilevel"/>
    <w:tmpl w:val="2946E8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7E1C70"/>
    <w:multiLevelType w:val="multilevel"/>
    <w:tmpl w:val="74D8F3F4"/>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78C15CC6"/>
    <w:multiLevelType w:val="hybridMultilevel"/>
    <w:tmpl w:val="37BA6CE6"/>
    <w:lvl w:ilvl="0" w:tplc="618492B8">
      <w:numFmt w:val="bullet"/>
      <w:lvlText w:val="-"/>
      <w:lvlJc w:val="left"/>
      <w:pPr>
        <w:ind w:left="720" w:hanging="360"/>
      </w:pPr>
      <w:rPr>
        <w:rFonts w:ascii="Arial" w:eastAsiaTheme="minorHAnsi" w:hAnsi="Arial" w:cs="Aria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2">
    <w:nsid w:val="7B7C0699"/>
    <w:multiLevelType w:val="hybridMultilevel"/>
    <w:tmpl w:val="738C2E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9B768E"/>
    <w:multiLevelType w:val="hybridMultilevel"/>
    <w:tmpl w:val="0CC66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8"/>
  </w:num>
  <w:num w:numId="4">
    <w:abstractNumId w:val="6"/>
  </w:num>
  <w:num w:numId="5">
    <w:abstractNumId w:val="23"/>
  </w:num>
  <w:num w:numId="6">
    <w:abstractNumId w:val="9"/>
  </w:num>
  <w:num w:numId="7">
    <w:abstractNumId w:val="3"/>
  </w:num>
  <w:num w:numId="8">
    <w:abstractNumId w:val="8"/>
  </w:num>
  <w:num w:numId="9">
    <w:abstractNumId w:val="12"/>
  </w:num>
  <w:num w:numId="10">
    <w:abstractNumId w:val="2"/>
  </w:num>
  <w:num w:numId="11">
    <w:abstractNumId w:val="11"/>
  </w:num>
  <w:num w:numId="12">
    <w:abstractNumId w:val="19"/>
  </w:num>
  <w:num w:numId="13">
    <w:abstractNumId w:val="16"/>
  </w:num>
  <w:num w:numId="14">
    <w:abstractNumId w:val="22"/>
  </w:num>
  <w:num w:numId="15">
    <w:abstractNumId w:val="14"/>
  </w:num>
  <w:num w:numId="16">
    <w:abstractNumId w:val="7"/>
  </w:num>
  <w:num w:numId="17">
    <w:abstractNumId w:val="1"/>
  </w:num>
  <w:num w:numId="18">
    <w:abstractNumId w:val="5"/>
  </w:num>
  <w:num w:numId="19">
    <w:abstractNumId w:val="4"/>
  </w:num>
  <w:num w:numId="20">
    <w:abstractNumId w:val="15"/>
  </w:num>
  <w:num w:numId="21">
    <w:abstractNumId w:val="10"/>
  </w:num>
  <w:num w:numId="22">
    <w:abstractNumId w:val="20"/>
  </w:num>
  <w:num w:numId="23">
    <w:abstractNumId w:val="17"/>
  </w:num>
  <w:num w:numId="24">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0BA"/>
    <w:rsid w:val="000005A8"/>
    <w:rsid w:val="00000BED"/>
    <w:rsid w:val="000010BD"/>
    <w:rsid w:val="00001169"/>
    <w:rsid w:val="00002B6F"/>
    <w:rsid w:val="00005620"/>
    <w:rsid w:val="00005B70"/>
    <w:rsid w:val="000078F5"/>
    <w:rsid w:val="00012256"/>
    <w:rsid w:val="00015797"/>
    <w:rsid w:val="0001601C"/>
    <w:rsid w:val="00016152"/>
    <w:rsid w:val="00020FA4"/>
    <w:rsid w:val="000215DC"/>
    <w:rsid w:val="000218EA"/>
    <w:rsid w:val="00021C9A"/>
    <w:rsid w:val="00022506"/>
    <w:rsid w:val="00023073"/>
    <w:rsid w:val="00024790"/>
    <w:rsid w:val="00025679"/>
    <w:rsid w:val="000265BB"/>
    <w:rsid w:val="000268D8"/>
    <w:rsid w:val="000317B9"/>
    <w:rsid w:val="00032456"/>
    <w:rsid w:val="000347D0"/>
    <w:rsid w:val="00035C72"/>
    <w:rsid w:val="00036357"/>
    <w:rsid w:val="00036D8D"/>
    <w:rsid w:val="0004101B"/>
    <w:rsid w:val="00041311"/>
    <w:rsid w:val="00041C0B"/>
    <w:rsid w:val="00043036"/>
    <w:rsid w:val="00043353"/>
    <w:rsid w:val="000440D5"/>
    <w:rsid w:val="000447B8"/>
    <w:rsid w:val="00044859"/>
    <w:rsid w:val="00044C8D"/>
    <w:rsid w:val="000500BA"/>
    <w:rsid w:val="00051F8F"/>
    <w:rsid w:val="0005291B"/>
    <w:rsid w:val="0005292C"/>
    <w:rsid w:val="00052B68"/>
    <w:rsid w:val="00056C7D"/>
    <w:rsid w:val="00057159"/>
    <w:rsid w:val="000605D4"/>
    <w:rsid w:val="000632DF"/>
    <w:rsid w:val="00063754"/>
    <w:rsid w:val="00063C4A"/>
    <w:rsid w:val="0006444C"/>
    <w:rsid w:val="0006462C"/>
    <w:rsid w:val="00066EDC"/>
    <w:rsid w:val="00066F26"/>
    <w:rsid w:val="000676B7"/>
    <w:rsid w:val="00067B81"/>
    <w:rsid w:val="0007009E"/>
    <w:rsid w:val="00070FB6"/>
    <w:rsid w:val="00071D03"/>
    <w:rsid w:val="00072288"/>
    <w:rsid w:val="00072D71"/>
    <w:rsid w:val="00073FDC"/>
    <w:rsid w:val="0007493D"/>
    <w:rsid w:val="000757DA"/>
    <w:rsid w:val="00075E07"/>
    <w:rsid w:val="00076D5D"/>
    <w:rsid w:val="000774E5"/>
    <w:rsid w:val="0007750B"/>
    <w:rsid w:val="00077A6D"/>
    <w:rsid w:val="00077EE9"/>
    <w:rsid w:val="00081EFB"/>
    <w:rsid w:val="0008229A"/>
    <w:rsid w:val="00083735"/>
    <w:rsid w:val="00083C59"/>
    <w:rsid w:val="00083D92"/>
    <w:rsid w:val="00084717"/>
    <w:rsid w:val="000905EC"/>
    <w:rsid w:val="00091559"/>
    <w:rsid w:val="000930C3"/>
    <w:rsid w:val="000943B3"/>
    <w:rsid w:val="00094C3E"/>
    <w:rsid w:val="0009529F"/>
    <w:rsid w:val="000972E9"/>
    <w:rsid w:val="00097EA0"/>
    <w:rsid w:val="000A0818"/>
    <w:rsid w:val="000A1B5A"/>
    <w:rsid w:val="000A30B1"/>
    <w:rsid w:val="000A30F9"/>
    <w:rsid w:val="000A76A1"/>
    <w:rsid w:val="000A7715"/>
    <w:rsid w:val="000A7A6A"/>
    <w:rsid w:val="000B023A"/>
    <w:rsid w:val="000B1398"/>
    <w:rsid w:val="000B14F3"/>
    <w:rsid w:val="000B1833"/>
    <w:rsid w:val="000B236C"/>
    <w:rsid w:val="000B2D9F"/>
    <w:rsid w:val="000B432A"/>
    <w:rsid w:val="000B484C"/>
    <w:rsid w:val="000B6007"/>
    <w:rsid w:val="000B724D"/>
    <w:rsid w:val="000C0D54"/>
    <w:rsid w:val="000C0FB8"/>
    <w:rsid w:val="000C1995"/>
    <w:rsid w:val="000C3349"/>
    <w:rsid w:val="000C49BE"/>
    <w:rsid w:val="000C4F88"/>
    <w:rsid w:val="000C63B2"/>
    <w:rsid w:val="000C64B6"/>
    <w:rsid w:val="000C7989"/>
    <w:rsid w:val="000D0234"/>
    <w:rsid w:val="000D0594"/>
    <w:rsid w:val="000D1D80"/>
    <w:rsid w:val="000D34A0"/>
    <w:rsid w:val="000D3E63"/>
    <w:rsid w:val="000D56DF"/>
    <w:rsid w:val="000D59EA"/>
    <w:rsid w:val="000D6325"/>
    <w:rsid w:val="000E0046"/>
    <w:rsid w:val="000E0F0C"/>
    <w:rsid w:val="000E432B"/>
    <w:rsid w:val="000E6543"/>
    <w:rsid w:val="000E6CE2"/>
    <w:rsid w:val="000E74E7"/>
    <w:rsid w:val="000F0780"/>
    <w:rsid w:val="000F0F73"/>
    <w:rsid w:val="000F2857"/>
    <w:rsid w:val="000F4217"/>
    <w:rsid w:val="000F5238"/>
    <w:rsid w:val="000F5597"/>
    <w:rsid w:val="000F5A2D"/>
    <w:rsid w:val="000F66CA"/>
    <w:rsid w:val="00100CB0"/>
    <w:rsid w:val="00100D79"/>
    <w:rsid w:val="00100DAC"/>
    <w:rsid w:val="00101257"/>
    <w:rsid w:val="00104DC3"/>
    <w:rsid w:val="00106268"/>
    <w:rsid w:val="001074C5"/>
    <w:rsid w:val="0010754F"/>
    <w:rsid w:val="0011005D"/>
    <w:rsid w:val="00110227"/>
    <w:rsid w:val="00110DBF"/>
    <w:rsid w:val="00111319"/>
    <w:rsid w:val="00111380"/>
    <w:rsid w:val="00111462"/>
    <w:rsid w:val="001147DE"/>
    <w:rsid w:val="0011511B"/>
    <w:rsid w:val="00116777"/>
    <w:rsid w:val="00121025"/>
    <w:rsid w:val="00121852"/>
    <w:rsid w:val="00121A66"/>
    <w:rsid w:val="00124B6E"/>
    <w:rsid w:val="00125C24"/>
    <w:rsid w:val="00126652"/>
    <w:rsid w:val="00126ECB"/>
    <w:rsid w:val="0013074B"/>
    <w:rsid w:val="0013698B"/>
    <w:rsid w:val="00136D8A"/>
    <w:rsid w:val="0014008B"/>
    <w:rsid w:val="001415A9"/>
    <w:rsid w:val="001417C1"/>
    <w:rsid w:val="00143A33"/>
    <w:rsid w:val="00145A64"/>
    <w:rsid w:val="0014618B"/>
    <w:rsid w:val="0014620C"/>
    <w:rsid w:val="001477AC"/>
    <w:rsid w:val="00151BC8"/>
    <w:rsid w:val="00152317"/>
    <w:rsid w:val="00152981"/>
    <w:rsid w:val="001533C0"/>
    <w:rsid w:val="00153523"/>
    <w:rsid w:val="00153788"/>
    <w:rsid w:val="001537EB"/>
    <w:rsid w:val="00154596"/>
    <w:rsid w:val="00155167"/>
    <w:rsid w:val="001576B7"/>
    <w:rsid w:val="00157927"/>
    <w:rsid w:val="00162929"/>
    <w:rsid w:val="00162CB8"/>
    <w:rsid w:val="00165AC8"/>
    <w:rsid w:val="00166A47"/>
    <w:rsid w:val="001703A0"/>
    <w:rsid w:val="001703DD"/>
    <w:rsid w:val="00171EE9"/>
    <w:rsid w:val="001741EF"/>
    <w:rsid w:val="00184DDA"/>
    <w:rsid w:val="00184EAF"/>
    <w:rsid w:val="001857E2"/>
    <w:rsid w:val="00185A21"/>
    <w:rsid w:val="00185A76"/>
    <w:rsid w:val="00185F41"/>
    <w:rsid w:val="001912F6"/>
    <w:rsid w:val="0019144B"/>
    <w:rsid w:val="00191A52"/>
    <w:rsid w:val="00192390"/>
    <w:rsid w:val="001933C6"/>
    <w:rsid w:val="0019473A"/>
    <w:rsid w:val="00196BE9"/>
    <w:rsid w:val="001A058C"/>
    <w:rsid w:val="001A0BC4"/>
    <w:rsid w:val="001A1459"/>
    <w:rsid w:val="001A5C58"/>
    <w:rsid w:val="001B0698"/>
    <w:rsid w:val="001B0B08"/>
    <w:rsid w:val="001B1C49"/>
    <w:rsid w:val="001B2F65"/>
    <w:rsid w:val="001B4208"/>
    <w:rsid w:val="001B4417"/>
    <w:rsid w:val="001B7C07"/>
    <w:rsid w:val="001C1259"/>
    <w:rsid w:val="001C1AA4"/>
    <w:rsid w:val="001C3281"/>
    <w:rsid w:val="001C387C"/>
    <w:rsid w:val="001C3D7F"/>
    <w:rsid w:val="001C4C61"/>
    <w:rsid w:val="001D0E81"/>
    <w:rsid w:val="001D1437"/>
    <w:rsid w:val="001D20AE"/>
    <w:rsid w:val="001D490C"/>
    <w:rsid w:val="001D5DBB"/>
    <w:rsid w:val="001D6EC3"/>
    <w:rsid w:val="001D6F43"/>
    <w:rsid w:val="001D7CA2"/>
    <w:rsid w:val="001D7F16"/>
    <w:rsid w:val="001E2EF0"/>
    <w:rsid w:val="001E3320"/>
    <w:rsid w:val="001E458D"/>
    <w:rsid w:val="001E5A4A"/>
    <w:rsid w:val="001E7410"/>
    <w:rsid w:val="001E7EFB"/>
    <w:rsid w:val="001E7F4B"/>
    <w:rsid w:val="001F1063"/>
    <w:rsid w:val="001F212B"/>
    <w:rsid w:val="001F43D1"/>
    <w:rsid w:val="001F533D"/>
    <w:rsid w:val="001F60EC"/>
    <w:rsid w:val="001F64A9"/>
    <w:rsid w:val="001F6AAE"/>
    <w:rsid w:val="00200D73"/>
    <w:rsid w:val="00204269"/>
    <w:rsid w:val="0020465D"/>
    <w:rsid w:val="00204C04"/>
    <w:rsid w:val="002056B1"/>
    <w:rsid w:val="00205916"/>
    <w:rsid w:val="002066EA"/>
    <w:rsid w:val="00206F97"/>
    <w:rsid w:val="00207B2B"/>
    <w:rsid w:val="00207BE4"/>
    <w:rsid w:val="00207F83"/>
    <w:rsid w:val="00213B29"/>
    <w:rsid w:val="002209D3"/>
    <w:rsid w:val="00220DC6"/>
    <w:rsid w:val="00221627"/>
    <w:rsid w:val="00222307"/>
    <w:rsid w:val="00222E8F"/>
    <w:rsid w:val="0022329E"/>
    <w:rsid w:val="00223723"/>
    <w:rsid w:val="00223AE6"/>
    <w:rsid w:val="002242FD"/>
    <w:rsid w:val="002261E0"/>
    <w:rsid w:val="002271DA"/>
    <w:rsid w:val="002305CD"/>
    <w:rsid w:val="0023112F"/>
    <w:rsid w:val="00231623"/>
    <w:rsid w:val="0023250A"/>
    <w:rsid w:val="00232728"/>
    <w:rsid w:val="002329CE"/>
    <w:rsid w:val="00232C16"/>
    <w:rsid w:val="0023429F"/>
    <w:rsid w:val="00234947"/>
    <w:rsid w:val="00235F73"/>
    <w:rsid w:val="002363C0"/>
    <w:rsid w:val="0024143A"/>
    <w:rsid w:val="00242384"/>
    <w:rsid w:val="00243791"/>
    <w:rsid w:val="00244329"/>
    <w:rsid w:val="00244D18"/>
    <w:rsid w:val="00247F8F"/>
    <w:rsid w:val="0025014D"/>
    <w:rsid w:val="00250F9E"/>
    <w:rsid w:val="00252ABC"/>
    <w:rsid w:val="00253056"/>
    <w:rsid w:val="002540A7"/>
    <w:rsid w:val="00254109"/>
    <w:rsid w:val="002543D0"/>
    <w:rsid w:val="00254955"/>
    <w:rsid w:val="00254DA9"/>
    <w:rsid w:val="00255F50"/>
    <w:rsid w:val="00261A36"/>
    <w:rsid w:val="00261ED0"/>
    <w:rsid w:val="002626C1"/>
    <w:rsid w:val="00262FF0"/>
    <w:rsid w:val="0026333F"/>
    <w:rsid w:val="00265141"/>
    <w:rsid w:val="0026517D"/>
    <w:rsid w:val="00265CA6"/>
    <w:rsid w:val="0026635D"/>
    <w:rsid w:val="00266C83"/>
    <w:rsid w:val="00266CF6"/>
    <w:rsid w:val="00267655"/>
    <w:rsid w:val="00271C44"/>
    <w:rsid w:val="0027250F"/>
    <w:rsid w:val="00272CB0"/>
    <w:rsid w:val="00272F76"/>
    <w:rsid w:val="00273983"/>
    <w:rsid w:val="002739E8"/>
    <w:rsid w:val="00274ED6"/>
    <w:rsid w:val="00276EB4"/>
    <w:rsid w:val="00277099"/>
    <w:rsid w:val="0027729A"/>
    <w:rsid w:val="002775D4"/>
    <w:rsid w:val="00281550"/>
    <w:rsid w:val="002818AA"/>
    <w:rsid w:val="00281A76"/>
    <w:rsid w:val="002841F5"/>
    <w:rsid w:val="002873EC"/>
    <w:rsid w:val="00287A64"/>
    <w:rsid w:val="0029091F"/>
    <w:rsid w:val="00292FB3"/>
    <w:rsid w:val="00295E30"/>
    <w:rsid w:val="00297744"/>
    <w:rsid w:val="002A0DC7"/>
    <w:rsid w:val="002A1A55"/>
    <w:rsid w:val="002A296A"/>
    <w:rsid w:val="002A6F54"/>
    <w:rsid w:val="002A720F"/>
    <w:rsid w:val="002B2175"/>
    <w:rsid w:val="002B5127"/>
    <w:rsid w:val="002B54EF"/>
    <w:rsid w:val="002B62B9"/>
    <w:rsid w:val="002B639E"/>
    <w:rsid w:val="002B6CE7"/>
    <w:rsid w:val="002B749D"/>
    <w:rsid w:val="002C012F"/>
    <w:rsid w:val="002C02CC"/>
    <w:rsid w:val="002C06C6"/>
    <w:rsid w:val="002C0BF2"/>
    <w:rsid w:val="002C3CC5"/>
    <w:rsid w:val="002C4297"/>
    <w:rsid w:val="002C43DE"/>
    <w:rsid w:val="002C4402"/>
    <w:rsid w:val="002D4BEC"/>
    <w:rsid w:val="002D53A9"/>
    <w:rsid w:val="002D6BAC"/>
    <w:rsid w:val="002E280A"/>
    <w:rsid w:val="002E3D18"/>
    <w:rsid w:val="002E457D"/>
    <w:rsid w:val="002E5C86"/>
    <w:rsid w:val="002E6267"/>
    <w:rsid w:val="002E6D17"/>
    <w:rsid w:val="002E7639"/>
    <w:rsid w:val="002E7718"/>
    <w:rsid w:val="002E7791"/>
    <w:rsid w:val="002E7F35"/>
    <w:rsid w:val="002F0436"/>
    <w:rsid w:val="002F058B"/>
    <w:rsid w:val="002F2048"/>
    <w:rsid w:val="002F272C"/>
    <w:rsid w:val="002F2E66"/>
    <w:rsid w:val="002F2FCA"/>
    <w:rsid w:val="002F332B"/>
    <w:rsid w:val="002F3CED"/>
    <w:rsid w:val="002F5347"/>
    <w:rsid w:val="002F5E8D"/>
    <w:rsid w:val="002F77FA"/>
    <w:rsid w:val="00300A7A"/>
    <w:rsid w:val="00301A0F"/>
    <w:rsid w:val="00301D43"/>
    <w:rsid w:val="003030B5"/>
    <w:rsid w:val="003038F8"/>
    <w:rsid w:val="00303F90"/>
    <w:rsid w:val="003049F3"/>
    <w:rsid w:val="00304BFF"/>
    <w:rsid w:val="0031139B"/>
    <w:rsid w:val="00311C14"/>
    <w:rsid w:val="00311CF3"/>
    <w:rsid w:val="003123AD"/>
    <w:rsid w:val="0031346D"/>
    <w:rsid w:val="0031666A"/>
    <w:rsid w:val="003166AC"/>
    <w:rsid w:val="00317384"/>
    <w:rsid w:val="0032002C"/>
    <w:rsid w:val="00320E11"/>
    <w:rsid w:val="00320FB3"/>
    <w:rsid w:val="0032353A"/>
    <w:rsid w:val="00324DF7"/>
    <w:rsid w:val="00325931"/>
    <w:rsid w:val="0032606A"/>
    <w:rsid w:val="00327294"/>
    <w:rsid w:val="00330012"/>
    <w:rsid w:val="0033017A"/>
    <w:rsid w:val="00330248"/>
    <w:rsid w:val="003307F5"/>
    <w:rsid w:val="0033276D"/>
    <w:rsid w:val="003343E6"/>
    <w:rsid w:val="00334D48"/>
    <w:rsid w:val="00340EFF"/>
    <w:rsid w:val="00344311"/>
    <w:rsid w:val="00345002"/>
    <w:rsid w:val="00345B14"/>
    <w:rsid w:val="00346E10"/>
    <w:rsid w:val="00350097"/>
    <w:rsid w:val="00350AEC"/>
    <w:rsid w:val="00351AE5"/>
    <w:rsid w:val="0035351D"/>
    <w:rsid w:val="00354B89"/>
    <w:rsid w:val="00354F61"/>
    <w:rsid w:val="0035514B"/>
    <w:rsid w:val="0035567D"/>
    <w:rsid w:val="0035671D"/>
    <w:rsid w:val="00357D72"/>
    <w:rsid w:val="0036022F"/>
    <w:rsid w:val="00361024"/>
    <w:rsid w:val="00361572"/>
    <w:rsid w:val="00361C31"/>
    <w:rsid w:val="00362817"/>
    <w:rsid w:val="00363251"/>
    <w:rsid w:val="00363544"/>
    <w:rsid w:val="003652E3"/>
    <w:rsid w:val="00365923"/>
    <w:rsid w:val="003667E5"/>
    <w:rsid w:val="003668D4"/>
    <w:rsid w:val="00370C03"/>
    <w:rsid w:val="00370F60"/>
    <w:rsid w:val="003731FF"/>
    <w:rsid w:val="00373730"/>
    <w:rsid w:val="00376B66"/>
    <w:rsid w:val="003804F3"/>
    <w:rsid w:val="00380D54"/>
    <w:rsid w:val="003813CE"/>
    <w:rsid w:val="003820BC"/>
    <w:rsid w:val="00383648"/>
    <w:rsid w:val="00383B9E"/>
    <w:rsid w:val="00385715"/>
    <w:rsid w:val="0038578A"/>
    <w:rsid w:val="00385E1B"/>
    <w:rsid w:val="003866DC"/>
    <w:rsid w:val="0038763C"/>
    <w:rsid w:val="00390011"/>
    <w:rsid w:val="003902B0"/>
    <w:rsid w:val="003925D2"/>
    <w:rsid w:val="00392D11"/>
    <w:rsid w:val="00395A77"/>
    <w:rsid w:val="00397CFE"/>
    <w:rsid w:val="003A0151"/>
    <w:rsid w:val="003A0C14"/>
    <w:rsid w:val="003A108B"/>
    <w:rsid w:val="003A3471"/>
    <w:rsid w:val="003A44AB"/>
    <w:rsid w:val="003A463B"/>
    <w:rsid w:val="003A5781"/>
    <w:rsid w:val="003A59DB"/>
    <w:rsid w:val="003A708B"/>
    <w:rsid w:val="003A7634"/>
    <w:rsid w:val="003A7AE5"/>
    <w:rsid w:val="003B0545"/>
    <w:rsid w:val="003B1779"/>
    <w:rsid w:val="003B3B2E"/>
    <w:rsid w:val="003B3C2F"/>
    <w:rsid w:val="003B6DE4"/>
    <w:rsid w:val="003C038C"/>
    <w:rsid w:val="003C0987"/>
    <w:rsid w:val="003C1A08"/>
    <w:rsid w:val="003C1E10"/>
    <w:rsid w:val="003C20B7"/>
    <w:rsid w:val="003C27AB"/>
    <w:rsid w:val="003C724E"/>
    <w:rsid w:val="003C77CC"/>
    <w:rsid w:val="003D044A"/>
    <w:rsid w:val="003D1634"/>
    <w:rsid w:val="003D232D"/>
    <w:rsid w:val="003D50ED"/>
    <w:rsid w:val="003D60D4"/>
    <w:rsid w:val="003D7A5C"/>
    <w:rsid w:val="003E183E"/>
    <w:rsid w:val="003E1CB3"/>
    <w:rsid w:val="003E2A29"/>
    <w:rsid w:val="003E3FDA"/>
    <w:rsid w:val="003E4AD6"/>
    <w:rsid w:val="003E5676"/>
    <w:rsid w:val="003E676F"/>
    <w:rsid w:val="003E7347"/>
    <w:rsid w:val="003E7961"/>
    <w:rsid w:val="003F1144"/>
    <w:rsid w:val="003F2D70"/>
    <w:rsid w:val="003F4314"/>
    <w:rsid w:val="003F51FB"/>
    <w:rsid w:val="003F55CE"/>
    <w:rsid w:val="003F604C"/>
    <w:rsid w:val="003F632D"/>
    <w:rsid w:val="003F6F3D"/>
    <w:rsid w:val="00403598"/>
    <w:rsid w:val="00403663"/>
    <w:rsid w:val="0040497B"/>
    <w:rsid w:val="004063DB"/>
    <w:rsid w:val="00410D9C"/>
    <w:rsid w:val="00411C46"/>
    <w:rsid w:val="0041263E"/>
    <w:rsid w:val="00412A4C"/>
    <w:rsid w:val="00413458"/>
    <w:rsid w:val="0041576B"/>
    <w:rsid w:val="00415C9C"/>
    <w:rsid w:val="004167F8"/>
    <w:rsid w:val="00417B4A"/>
    <w:rsid w:val="004204B4"/>
    <w:rsid w:val="004207D2"/>
    <w:rsid w:val="004214D9"/>
    <w:rsid w:val="00421D64"/>
    <w:rsid w:val="0042203C"/>
    <w:rsid w:val="00424395"/>
    <w:rsid w:val="00425074"/>
    <w:rsid w:val="0042625C"/>
    <w:rsid w:val="00426ADE"/>
    <w:rsid w:val="00431449"/>
    <w:rsid w:val="00431EE7"/>
    <w:rsid w:val="00432002"/>
    <w:rsid w:val="0043529E"/>
    <w:rsid w:val="00435CDD"/>
    <w:rsid w:val="00437A59"/>
    <w:rsid w:val="00437DED"/>
    <w:rsid w:val="004423EC"/>
    <w:rsid w:val="0044420E"/>
    <w:rsid w:val="00447539"/>
    <w:rsid w:val="00447F0E"/>
    <w:rsid w:val="00452E99"/>
    <w:rsid w:val="0045479E"/>
    <w:rsid w:val="00454880"/>
    <w:rsid w:val="0045538D"/>
    <w:rsid w:val="00456958"/>
    <w:rsid w:val="00463FF1"/>
    <w:rsid w:val="004648AA"/>
    <w:rsid w:val="00465A66"/>
    <w:rsid w:val="004664CE"/>
    <w:rsid w:val="00466761"/>
    <w:rsid w:val="00467062"/>
    <w:rsid w:val="00467CD4"/>
    <w:rsid w:val="00467D3A"/>
    <w:rsid w:val="0047033E"/>
    <w:rsid w:val="0047038A"/>
    <w:rsid w:val="00471CFB"/>
    <w:rsid w:val="00472519"/>
    <w:rsid w:val="0047256D"/>
    <w:rsid w:val="00472C86"/>
    <w:rsid w:val="00474391"/>
    <w:rsid w:val="00474B2F"/>
    <w:rsid w:val="004755A8"/>
    <w:rsid w:val="00476BC3"/>
    <w:rsid w:val="004778C3"/>
    <w:rsid w:val="00480E0F"/>
    <w:rsid w:val="004840A3"/>
    <w:rsid w:val="00485759"/>
    <w:rsid w:val="00486911"/>
    <w:rsid w:val="00487237"/>
    <w:rsid w:val="004900F8"/>
    <w:rsid w:val="0049014E"/>
    <w:rsid w:val="004908DE"/>
    <w:rsid w:val="00490E89"/>
    <w:rsid w:val="00492009"/>
    <w:rsid w:val="0049291D"/>
    <w:rsid w:val="0049573E"/>
    <w:rsid w:val="00497098"/>
    <w:rsid w:val="004979D9"/>
    <w:rsid w:val="004A04D3"/>
    <w:rsid w:val="004A0B31"/>
    <w:rsid w:val="004A1407"/>
    <w:rsid w:val="004A405C"/>
    <w:rsid w:val="004A5452"/>
    <w:rsid w:val="004A7976"/>
    <w:rsid w:val="004B01F2"/>
    <w:rsid w:val="004B02F1"/>
    <w:rsid w:val="004B0695"/>
    <w:rsid w:val="004B159D"/>
    <w:rsid w:val="004B1F8A"/>
    <w:rsid w:val="004B2BC7"/>
    <w:rsid w:val="004B371B"/>
    <w:rsid w:val="004B3D57"/>
    <w:rsid w:val="004B46FD"/>
    <w:rsid w:val="004B4BB9"/>
    <w:rsid w:val="004B5821"/>
    <w:rsid w:val="004C0301"/>
    <w:rsid w:val="004C1B96"/>
    <w:rsid w:val="004C39FB"/>
    <w:rsid w:val="004C3BD1"/>
    <w:rsid w:val="004D14ED"/>
    <w:rsid w:val="004D2F75"/>
    <w:rsid w:val="004D30BF"/>
    <w:rsid w:val="004D3707"/>
    <w:rsid w:val="004D3AB5"/>
    <w:rsid w:val="004D41B5"/>
    <w:rsid w:val="004D4439"/>
    <w:rsid w:val="004D4877"/>
    <w:rsid w:val="004D48FC"/>
    <w:rsid w:val="004D5750"/>
    <w:rsid w:val="004D5AF6"/>
    <w:rsid w:val="004D5B4A"/>
    <w:rsid w:val="004E068D"/>
    <w:rsid w:val="004E17C5"/>
    <w:rsid w:val="004E405E"/>
    <w:rsid w:val="004E4B71"/>
    <w:rsid w:val="004E6871"/>
    <w:rsid w:val="004E6A93"/>
    <w:rsid w:val="004E7864"/>
    <w:rsid w:val="004F0506"/>
    <w:rsid w:val="004F2841"/>
    <w:rsid w:val="004F3582"/>
    <w:rsid w:val="004F3CA4"/>
    <w:rsid w:val="004F4CE4"/>
    <w:rsid w:val="004F6837"/>
    <w:rsid w:val="004F6AD8"/>
    <w:rsid w:val="004F7CB1"/>
    <w:rsid w:val="0050295B"/>
    <w:rsid w:val="005038C1"/>
    <w:rsid w:val="0050589A"/>
    <w:rsid w:val="00512179"/>
    <w:rsid w:val="0051298A"/>
    <w:rsid w:val="00514A11"/>
    <w:rsid w:val="00515348"/>
    <w:rsid w:val="005157AD"/>
    <w:rsid w:val="005200ED"/>
    <w:rsid w:val="00520111"/>
    <w:rsid w:val="005208A4"/>
    <w:rsid w:val="00520AF1"/>
    <w:rsid w:val="00520C39"/>
    <w:rsid w:val="00521C0E"/>
    <w:rsid w:val="005237B6"/>
    <w:rsid w:val="00526B16"/>
    <w:rsid w:val="00527CA6"/>
    <w:rsid w:val="00530237"/>
    <w:rsid w:val="005309F7"/>
    <w:rsid w:val="00530FB6"/>
    <w:rsid w:val="005312F2"/>
    <w:rsid w:val="0053144A"/>
    <w:rsid w:val="00531511"/>
    <w:rsid w:val="0053219F"/>
    <w:rsid w:val="00533C0B"/>
    <w:rsid w:val="005343CA"/>
    <w:rsid w:val="0053469E"/>
    <w:rsid w:val="0053562D"/>
    <w:rsid w:val="00535F79"/>
    <w:rsid w:val="005417E2"/>
    <w:rsid w:val="0054236B"/>
    <w:rsid w:val="00542D92"/>
    <w:rsid w:val="0054581A"/>
    <w:rsid w:val="00546749"/>
    <w:rsid w:val="0054793C"/>
    <w:rsid w:val="00547CFC"/>
    <w:rsid w:val="005502BB"/>
    <w:rsid w:val="005504E5"/>
    <w:rsid w:val="005522D8"/>
    <w:rsid w:val="005567A9"/>
    <w:rsid w:val="0055696A"/>
    <w:rsid w:val="005574CC"/>
    <w:rsid w:val="005612E1"/>
    <w:rsid w:val="00561FEC"/>
    <w:rsid w:val="00562A87"/>
    <w:rsid w:val="00562E50"/>
    <w:rsid w:val="005639A8"/>
    <w:rsid w:val="00564239"/>
    <w:rsid w:val="005703AA"/>
    <w:rsid w:val="00571998"/>
    <w:rsid w:val="0057207D"/>
    <w:rsid w:val="0057239C"/>
    <w:rsid w:val="00572F71"/>
    <w:rsid w:val="00574B40"/>
    <w:rsid w:val="005751B2"/>
    <w:rsid w:val="005758E1"/>
    <w:rsid w:val="00577C36"/>
    <w:rsid w:val="00577D5A"/>
    <w:rsid w:val="00580008"/>
    <w:rsid w:val="005809D3"/>
    <w:rsid w:val="00582269"/>
    <w:rsid w:val="0058345F"/>
    <w:rsid w:val="005836C4"/>
    <w:rsid w:val="00583DE5"/>
    <w:rsid w:val="00584AF1"/>
    <w:rsid w:val="00585CA3"/>
    <w:rsid w:val="00591F9B"/>
    <w:rsid w:val="00592FCB"/>
    <w:rsid w:val="00593876"/>
    <w:rsid w:val="00593AF8"/>
    <w:rsid w:val="0059403E"/>
    <w:rsid w:val="005947DE"/>
    <w:rsid w:val="005951D8"/>
    <w:rsid w:val="00595C87"/>
    <w:rsid w:val="00597888"/>
    <w:rsid w:val="00597BDE"/>
    <w:rsid w:val="005A0122"/>
    <w:rsid w:val="005A0375"/>
    <w:rsid w:val="005A0976"/>
    <w:rsid w:val="005A1CF8"/>
    <w:rsid w:val="005A22BA"/>
    <w:rsid w:val="005A40F5"/>
    <w:rsid w:val="005A6F92"/>
    <w:rsid w:val="005B12C9"/>
    <w:rsid w:val="005B2F75"/>
    <w:rsid w:val="005B37F9"/>
    <w:rsid w:val="005B3D82"/>
    <w:rsid w:val="005B63C9"/>
    <w:rsid w:val="005C0560"/>
    <w:rsid w:val="005C0C45"/>
    <w:rsid w:val="005C1004"/>
    <w:rsid w:val="005C5B08"/>
    <w:rsid w:val="005C6177"/>
    <w:rsid w:val="005C7550"/>
    <w:rsid w:val="005D4630"/>
    <w:rsid w:val="005D558B"/>
    <w:rsid w:val="005D6860"/>
    <w:rsid w:val="005D70C9"/>
    <w:rsid w:val="005E0504"/>
    <w:rsid w:val="005E14AA"/>
    <w:rsid w:val="005E2881"/>
    <w:rsid w:val="005E2B9E"/>
    <w:rsid w:val="005E2E13"/>
    <w:rsid w:val="005E2E57"/>
    <w:rsid w:val="005E5711"/>
    <w:rsid w:val="005E7CD4"/>
    <w:rsid w:val="005E7F90"/>
    <w:rsid w:val="005F0723"/>
    <w:rsid w:val="005F0EEB"/>
    <w:rsid w:val="005F2E33"/>
    <w:rsid w:val="005F6885"/>
    <w:rsid w:val="005F727F"/>
    <w:rsid w:val="005F77DA"/>
    <w:rsid w:val="00602D2C"/>
    <w:rsid w:val="00603F50"/>
    <w:rsid w:val="006059C9"/>
    <w:rsid w:val="00606CB3"/>
    <w:rsid w:val="006070C3"/>
    <w:rsid w:val="0060713C"/>
    <w:rsid w:val="00607B79"/>
    <w:rsid w:val="006105FE"/>
    <w:rsid w:val="00611F9C"/>
    <w:rsid w:val="00612C1E"/>
    <w:rsid w:val="00612E04"/>
    <w:rsid w:val="00613D68"/>
    <w:rsid w:val="0061547B"/>
    <w:rsid w:val="00617723"/>
    <w:rsid w:val="00617AE4"/>
    <w:rsid w:val="006221A4"/>
    <w:rsid w:val="00622762"/>
    <w:rsid w:val="0062489D"/>
    <w:rsid w:val="00624C0F"/>
    <w:rsid w:val="0062652C"/>
    <w:rsid w:val="006276DC"/>
    <w:rsid w:val="00631796"/>
    <w:rsid w:val="00632CCE"/>
    <w:rsid w:val="006347DE"/>
    <w:rsid w:val="00634F1A"/>
    <w:rsid w:val="00636A50"/>
    <w:rsid w:val="00637946"/>
    <w:rsid w:val="00637979"/>
    <w:rsid w:val="00637EEA"/>
    <w:rsid w:val="0064121F"/>
    <w:rsid w:val="00641369"/>
    <w:rsid w:val="00641ECD"/>
    <w:rsid w:val="006425AD"/>
    <w:rsid w:val="00642602"/>
    <w:rsid w:val="00643B0C"/>
    <w:rsid w:val="00644ABC"/>
    <w:rsid w:val="00644C22"/>
    <w:rsid w:val="00647CE9"/>
    <w:rsid w:val="00650B52"/>
    <w:rsid w:val="00650E15"/>
    <w:rsid w:val="006533C8"/>
    <w:rsid w:val="00654390"/>
    <w:rsid w:val="00654440"/>
    <w:rsid w:val="00657505"/>
    <w:rsid w:val="00657E18"/>
    <w:rsid w:val="00660C8B"/>
    <w:rsid w:val="00661BAA"/>
    <w:rsid w:val="006623BC"/>
    <w:rsid w:val="00663AD2"/>
    <w:rsid w:val="006663A6"/>
    <w:rsid w:val="00667350"/>
    <w:rsid w:val="00667890"/>
    <w:rsid w:val="00667BE0"/>
    <w:rsid w:val="00670D0A"/>
    <w:rsid w:val="006718CC"/>
    <w:rsid w:val="00676F32"/>
    <w:rsid w:val="006774B3"/>
    <w:rsid w:val="006774B5"/>
    <w:rsid w:val="00677A0E"/>
    <w:rsid w:val="00680A6B"/>
    <w:rsid w:val="006815AF"/>
    <w:rsid w:val="00683AEA"/>
    <w:rsid w:val="00683D9B"/>
    <w:rsid w:val="00683EB2"/>
    <w:rsid w:val="0068406B"/>
    <w:rsid w:val="0068417D"/>
    <w:rsid w:val="006858D8"/>
    <w:rsid w:val="00685D42"/>
    <w:rsid w:val="006867E3"/>
    <w:rsid w:val="00687C0E"/>
    <w:rsid w:val="00690CE8"/>
    <w:rsid w:val="00691C41"/>
    <w:rsid w:val="00691FAA"/>
    <w:rsid w:val="006945AF"/>
    <w:rsid w:val="006952EE"/>
    <w:rsid w:val="00695330"/>
    <w:rsid w:val="006965F7"/>
    <w:rsid w:val="0069684F"/>
    <w:rsid w:val="00696E6F"/>
    <w:rsid w:val="006A0946"/>
    <w:rsid w:val="006A374F"/>
    <w:rsid w:val="006A3EB1"/>
    <w:rsid w:val="006A48E2"/>
    <w:rsid w:val="006A4E4C"/>
    <w:rsid w:val="006A5265"/>
    <w:rsid w:val="006A5409"/>
    <w:rsid w:val="006A56C9"/>
    <w:rsid w:val="006B0722"/>
    <w:rsid w:val="006B0D8B"/>
    <w:rsid w:val="006B0DC6"/>
    <w:rsid w:val="006B11DD"/>
    <w:rsid w:val="006B2B63"/>
    <w:rsid w:val="006C0127"/>
    <w:rsid w:val="006C06C2"/>
    <w:rsid w:val="006C10D3"/>
    <w:rsid w:val="006C12C9"/>
    <w:rsid w:val="006C194D"/>
    <w:rsid w:val="006C49DA"/>
    <w:rsid w:val="006C5969"/>
    <w:rsid w:val="006C5B32"/>
    <w:rsid w:val="006D0766"/>
    <w:rsid w:val="006D1D29"/>
    <w:rsid w:val="006D2FB9"/>
    <w:rsid w:val="006D4138"/>
    <w:rsid w:val="006D622F"/>
    <w:rsid w:val="006D6AD8"/>
    <w:rsid w:val="006D6E01"/>
    <w:rsid w:val="006E0852"/>
    <w:rsid w:val="006E2D41"/>
    <w:rsid w:val="006E5ADD"/>
    <w:rsid w:val="006F0B70"/>
    <w:rsid w:val="006F1BE4"/>
    <w:rsid w:val="006F1F18"/>
    <w:rsid w:val="006F3024"/>
    <w:rsid w:val="006F5F0E"/>
    <w:rsid w:val="007011E0"/>
    <w:rsid w:val="00701525"/>
    <w:rsid w:val="0070635D"/>
    <w:rsid w:val="00706960"/>
    <w:rsid w:val="0071032F"/>
    <w:rsid w:val="00710B8B"/>
    <w:rsid w:val="00710BB1"/>
    <w:rsid w:val="007118FD"/>
    <w:rsid w:val="00712455"/>
    <w:rsid w:val="007137B5"/>
    <w:rsid w:val="00714587"/>
    <w:rsid w:val="00715614"/>
    <w:rsid w:val="00716AB5"/>
    <w:rsid w:val="00717758"/>
    <w:rsid w:val="00722BC3"/>
    <w:rsid w:val="00723E62"/>
    <w:rsid w:val="00725C11"/>
    <w:rsid w:val="0073062F"/>
    <w:rsid w:val="00733511"/>
    <w:rsid w:val="00736350"/>
    <w:rsid w:val="00737173"/>
    <w:rsid w:val="00737FF2"/>
    <w:rsid w:val="007418F8"/>
    <w:rsid w:val="00741C74"/>
    <w:rsid w:val="007426F0"/>
    <w:rsid w:val="00743E4B"/>
    <w:rsid w:val="00744577"/>
    <w:rsid w:val="00744E4B"/>
    <w:rsid w:val="00747B1F"/>
    <w:rsid w:val="00751E82"/>
    <w:rsid w:val="00752360"/>
    <w:rsid w:val="007525F0"/>
    <w:rsid w:val="007539B5"/>
    <w:rsid w:val="007539C2"/>
    <w:rsid w:val="00753DA0"/>
    <w:rsid w:val="007562E5"/>
    <w:rsid w:val="00756821"/>
    <w:rsid w:val="00756CA4"/>
    <w:rsid w:val="0075724E"/>
    <w:rsid w:val="00761741"/>
    <w:rsid w:val="0076228D"/>
    <w:rsid w:val="00762585"/>
    <w:rsid w:val="00763359"/>
    <w:rsid w:val="00763659"/>
    <w:rsid w:val="007664A3"/>
    <w:rsid w:val="007666D1"/>
    <w:rsid w:val="00771783"/>
    <w:rsid w:val="007718FD"/>
    <w:rsid w:val="00772268"/>
    <w:rsid w:val="00775023"/>
    <w:rsid w:val="00777387"/>
    <w:rsid w:val="0078256E"/>
    <w:rsid w:val="0078438E"/>
    <w:rsid w:val="0078494F"/>
    <w:rsid w:val="00784DD5"/>
    <w:rsid w:val="00787CB6"/>
    <w:rsid w:val="00791C2F"/>
    <w:rsid w:val="00793A45"/>
    <w:rsid w:val="00794B24"/>
    <w:rsid w:val="00796EDD"/>
    <w:rsid w:val="00797146"/>
    <w:rsid w:val="007A074D"/>
    <w:rsid w:val="007A0FD8"/>
    <w:rsid w:val="007A373A"/>
    <w:rsid w:val="007A4405"/>
    <w:rsid w:val="007A4A3B"/>
    <w:rsid w:val="007A6F1A"/>
    <w:rsid w:val="007A728A"/>
    <w:rsid w:val="007A7B16"/>
    <w:rsid w:val="007B235D"/>
    <w:rsid w:val="007B297D"/>
    <w:rsid w:val="007B5272"/>
    <w:rsid w:val="007B5B9B"/>
    <w:rsid w:val="007B5C21"/>
    <w:rsid w:val="007B681A"/>
    <w:rsid w:val="007B7CC3"/>
    <w:rsid w:val="007B7F97"/>
    <w:rsid w:val="007C1722"/>
    <w:rsid w:val="007C2B54"/>
    <w:rsid w:val="007C2C2D"/>
    <w:rsid w:val="007C36BB"/>
    <w:rsid w:val="007C3F5B"/>
    <w:rsid w:val="007C3FE8"/>
    <w:rsid w:val="007C6277"/>
    <w:rsid w:val="007C65D7"/>
    <w:rsid w:val="007C6940"/>
    <w:rsid w:val="007C7BDD"/>
    <w:rsid w:val="007D1B17"/>
    <w:rsid w:val="007D25DD"/>
    <w:rsid w:val="007D2D24"/>
    <w:rsid w:val="007D2D70"/>
    <w:rsid w:val="007D3C51"/>
    <w:rsid w:val="007D41DC"/>
    <w:rsid w:val="007D4A0E"/>
    <w:rsid w:val="007D5954"/>
    <w:rsid w:val="007D68A4"/>
    <w:rsid w:val="007D791E"/>
    <w:rsid w:val="007E15C3"/>
    <w:rsid w:val="007E1A21"/>
    <w:rsid w:val="007E29BE"/>
    <w:rsid w:val="007E56BE"/>
    <w:rsid w:val="007E6369"/>
    <w:rsid w:val="007E640F"/>
    <w:rsid w:val="007E6AFF"/>
    <w:rsid w:val="007E71D0"/>
    <w:rsid w:val="007F0E31"/>
    <w:rsid w:val="007F1A58"/>
    <w:rsid w:val="007F1C50"/>
    <w:rsid w:val="007F2DBF"/>
    <w:rsid w:val="007F5752"/>
    <w:rsid w:val="007F6A72"/>
    <w:rsid w:val="007F6F08"/>
    <w:rsid w:val="0080277B"/>
    <w:rsid w:val="00803B8F"/>
    <w:rsid w:val="00804016"/>
    <w:rsid w:val="008117D3"/>
    <w:rsid w:val="0081234F"/>
    <w:rsid w:val="00812394"/>
    <w:rsid w:val="0081383B"/>
    <w:rsid w:val="00814544"/>
    <w:rsid w:val="00815F30"/>
    <w:rsid w:val="0082004F"/>
    <w:rsid w:val="00823741"/>
    <w:rsid w:val="00824302"/>
    <w:rsid w:val="00824B2D"/>
    <w:rsid w:val="0083119A"/>
    <w:rsid w:val="008321CA"/>
    <w:rsid w:val="00833482"/>
    <w:rsid w:val="00834D88"/>
    <w:rsid w:val="00836EFB"/>
    <w:rsid w:val="00836F2E"/>
    <w:rsid w:val="00837347"/>
    <w:rsid w:val="00837AA7"/>
    <w:rsid w:val="00837AB7"/>
    <w:rsid w:val="008407F7"/>
    <w:rsid w:val="00842535"/>
    <w:rsid w:val="00842EE2"/>
    <w:rsid w:val="0084422E"/>
    <w:rsid w:val="0084490D"/>
    <w:rsid w:val="00844FD1"/>
    <w:rsid w:val="008471BF"/>
    <w:rsid w:val="00847337"/>
    <w:rsid w:val="0084750B"/>
    <w:rsid w:val="00847B10"/>
    <w:rsid w:val="008502FF"/>
    <w:rsid w:val="00852780"/>
    <w:rsid w:val="0085338E"/>
    <w:rsid w:val="00854207"/>
    <w:rsid w:val="0085486D"/>
    <w:rsid w:val="00854F2A"/>
    <w:rsid w:val="008558D7"/>
    <w:rsid w:val="00856A2F"/>
    <w:rsid w:val="00856DF3"/>
    <w:rsid w:val="00857155"/>
    <w:rsid w:val="00860678"/>
    <w:rsid w:val="00860C22"/>
    <w:rsid w:val="00861187"/>
    <w:rsid w:val="00862CA2"/>
    <w:rsid w:val="00864C8F"/>
    <w:rsid w:val="00865257"/>
    <w:rsid w:val="0086633C"/>
    <w:rsid w:val="00870BF9"/>
    <w:rsid w:val="00870CA9"/>
    <w:rsid w:val="008710E7"/>
    <w:rsid w:val="00871C94"/>
    <w:rsid w:val="00873997"/>
    <w:rsid w:val="00880022"/>
    <w:rsid w:val="0088004D"/>
    <w:rsid w:val="00880C75"/>
    <w:rsid w:val="00882B85"/>
    <w:rsid w:val="0088304A"/>
    <w:rsid w:val="00883093"/>
    <w:rsid w:val="00883B4A"/>
    <w:rsid w:val="00886321"/>
    <w:rsid w:val="00886419"/>
    <w:rsid w:val="00891061"/>
    <w:rsid w:val="008917FE"/>
    <w:rsid w:val="00894ACF"/>
    <w:rsid w:val="00894FCD"/>
    <w:rsid w:val="00895828"/>
    <w:rsid w:val="00895AEC"/>
    <w:rsid w:val="00896F4B"/>
    <w:rsid w:val="008A0270"/>
    <w:rsid w:val="008A0739"/>
    <w:rsid w:val="008A0D53"/>
    <w:rsid w:val="008A5EF6"/>
    <w:rsid w:val="008A6B93"/>
    <w:rsid w:val="008A6EE5"/>
    <w:rsid w:val="008A71C1"/>
    <w:rsid w:val="008A7C56"/>
    <w:rsid w:val="008B0DF0"/>
    <w:rsid w:val="008B18D7"/>
    <w:rsid w:val="008B21E3"/>
    <w:rsid w:val="008B383B"/>
    <w:rsid w:val="008B383D"/>
    <w:rsid w:val="008B5742"/>
    <w:rsid w:val="008B67E7"/>
    <w:rsid w:val="008B7037"/>
    <w:rsid w:val="008C13E7"/>
    <w:rsid w:val="008C1F0C"/>
    <w:rsid w:val="008C32AD"/>
    <w:rsid w:val="008C3B64"/>
    <w:rsid w:val="008C4A82"/>
    <w:rsid w:val="008C5F98"/>
    <w:rsid w:val="008C6FDA"/>
    <w:rsid w:val="008C7C47"/>
    <w:rsid w:val="008C7E38"/>
    <w:rsid w:val="008D14CA"/>
    <w:rsid w:val="008D238E"/>
    <w:rsid w:val="008D2B4B"/>
    <w:rsid w:val="008D4895"/>
    <w:rsid w:val="008D7745"/>
    <w:rsid w:val="008E0093"/>
    <w:rsid w:val="008E0927"/>
    <w:rsid w:val="008E2600"/>
    <w:rsid w:val="008F0F65"/>
    <w:rsid w:val="008F0FA3"/>
    <w:rsid w:val="008F3960"/>
    <w:rsid w:val="008F3C7A"/>
    <w:rsid w:val="008F7B86"/>
    <w:rsid w:val="008F7E7C"/>
    <w:rsid w:val="00900002"/>
    <w:rsid w:val="009008BA"/>
    <w:rsid w:val="009023E9"/>
    <w:rsid w:val="00902C34"/>
    <w:rsid w:val="00906595"/>
    <w:rsid w:val="009065F1"/>
    <w:rsid w:val="00911C19"/>
    <w:rsid w:val="00911FF7"/>
    <w:rsid w:val="0091264B"/>
    <w:rsid w:val="00912FB9"/>
    <w:rsid w:val="00914B0F"/>
    <w:rsid w:val="00915A36"/>
    <w:rsid w:val="0091672F"/>
    <w:rsid w:val="00917313"/>
    <w:rsid w:val="00917498"/>
    <w:rsid w:val="00920AE2"/>
    <w:rsid w:val="00920E73"/>
    <w:rsid w:val="00921D23"/>
    <w:rsid w:val="00922054"/>
    <w:rsid w:val="0092222E"/>
    <w:rsid w:val="0092364E"/>
    <w:rsid w:val="00923757"/>
    <w:rsid w:val="00925931"/>
    <w:rsid w:val="00926887"/>
    <w:rsid w:val="00927DCD"/>
    <w:rsid w:val="009301B0"/>
    <w:rsid w:val="00932053"/>
    <w:rsid w:val="00933954"/>
    <w:rsid w:val="00933D0E"/>
    <w:rsid w:val="009360EC"/>
    <w:rsid w:val="009372CF"/>
    <w:rsid w:val="00937661"/>
    <w:rsid w:val="00940295"/>
    <w:rsid w:val="00941034"/>
    <w:rsid w:val="009417EA"/>
    <w:rsid w:val="00943A13"/>
    <w:rsid w:val="00945FB7"/>
    <w:rsid w:val="00946DC0"/>
    <w:rsid w:val="00947B97"/>
    <w:rsid w:val="00950E1A"/>
    <w:rsid w:val="009513BF"/>
    <w:rsid w:val="00951F8E"/>
    <w:rsid w:val="0095275C"/>
    <w:rsid w:val="00953184"/>
    <w:rsid w:val="009539DA"/>
    <w:rsid w:val="0095606D"/>
    <w:rsid w:val="00956DE9"/>
    <w:rsid w:val="00957022"/>
    <w:rsid w:val="009570A4"/>
    <w:rsid w:val="00960A7C"/>
    <w:rsid w:val="009617A9"/>
    <w:rsid w:val="00961830"/>
    <w:rsid w:val="009619A5"/>
    <w:rsid w:val="00961FE9"/>
    <w:rsid w:val="00962A7C"/>
    <w:rsid w:val="00962B48"/>
    <w:rsid w:val="00965151"/>
    <w:rsid w:val="0096788B"/>
    <w:rsid w:val="00971F80"/>
    <w:rsid w:val="009721E4"/>
    <w:rsid w:val="009736C6"/>
    <w:rsid w:val="00973AD4"/>
    <w:rsid w:val="009741AC"/>
    <w:rsid w:val="009751D5"/>
    <w:rsid w:val="009759EB"/>
    <w:rsid w:val="00977E1F"/>
    <w:rsid w:val="00981B6E"/>
    <w:rsid w:val="009852FC"/>
    <w:rsid w:val="009856DF"/>
    <w:rsid w:val="009861B9"/>
    <w:rsid w:val="00986F77"/>
    <w:rsid w:val="00987ADF"/>
    <w:rsid w:val="00990BE3"/>
    <w:rsid w:val="00992519"/>
    <w:rsid w:val="0099362E"/>
    <w:rsid w:val="009946E9"/>
    <w:rsid w:val="009A097E"/>
    <w:rsid w:val="009A1FE1"/>
    <w:rsid w:val="009A389C"/>
    <w:rsid w:val="009A44A4"/>
    <w:rsid w:val="009A4C5E"/>
    <w:rsid w:val="009A59BB"/>
    <w:rsid w:val="009A668A"/>
    <w:rsid w:val="009A6A95"/>
    <w:rsid w:val="009A76FA"/>
    <w:rsid w:val="009A7B82"/>
    <w:rsid w:val="009B2C1C"/>
    <w:rsid w:val="009B49A9"/>
    <w:rsid w:val="009B4B5B"/>
    <w:rsid w:val="009B5145"/>
    <w:rsid w:val="009B6003"/>
    <w:rsid w:val="009B79AD"/>
    <w:rsid w:val="009C0E17"/>
    <w:rsid w:val="009C14A1"/>
    <w:rsid w:val="009C1CF4"/>
    <w:rsid w:val="009C220D"/>
    <w:rsid w:val="009C22F1"/>
    <w:rsid w:val="009C2703"/>
    <w:rsid w:val="009C3270"/>
    <w:rsid w:val="009C38D5"/>
    <w:rsid w:val="009C52D4"/>
    <w:rsid w:val="009C5F1B"/>
    <w:rsid w:val="009C6046"/>
    <w:rsid w:val="009C791D"/>
    <w:rsid w:val="009C7BD6"/>
    <w:rsid w:val="009D0F02"/>
    <w:rsid w:val="009D12A6"/>
    <w:rsid w:val="009D192E"/>
    <w:rsid w:val="009D1B7A"/>
    <w:rsid w:val="009D5C0A"/>
    <w:rsid w:val="009D62F1"/>
    <w:rsid w:val="009D6B91"/>
    <w:rsid w:val="009D719F"/>
    <w:rsid w:val="009E0643"/>
    <w:rsid w:val="009E396D"/>
    <w:rsid w:val="009E43FD"/>
    <w:rsid w:val="009E65F8"/>
    <w:rsid w:val="009E6929"/>
    <w:rsid w:val="009E6B1C"/>
    <w:rsid w:val="009E7FCD"/>
    <w:rsid w:val="009F4331"/>
    <w:rsid w:val="009F4FE4"/>
    <w:rsid w:val="00A00BA5"/>
    <w:rsid w:val="00A00C77"/>
    <w:rsid w:val="00A00EF7"/>
    <w:rsid w:val="00A026D5"/>
    <w:rsid w:val="00A02FD1"/>
    <w:rsid w:val="00A03C1A"/>
    <w:rsid w:val="00A03F7B"/>
    <w:rsid w:val="00A0652E"/>
    <w:rsid w:val="00A06952"/>
    <w:rsid w:val="00A0782F"/>
    <w:rsid w:val="00A13DA1"/>
    <w:rsid w:val="00A14A7A"/>
    <w:rsid w:val="00A162BC"/>
    <w:rsid w:val="00A20524"/>
    <w:rsid w:val="00A22E37"/>
    <w:rsid w:val="00A248D8"/>
    <w:rsid w:val="00A24B0B"/>
    <w:rsid w:val="00A25170"/>
    <w:rsid w:val="00A26DF6"/>
    <w:rsid w:val="00A27C3C"/>
    <w:rsid w:val="00A32AEC"/>
    <w:rsid w:val="00A331F4"/>
    <w:rsid w:val="00A34579"/>
    <w:rsid w:val="00A345B8"/>
    <w:rsid w:val="00A378BF"/>
    <w:rsid w:val="00A3794F"/>
    <w:rsid w:val="00A40C7D"/>
    <w:rsid w:val="00A45451"/>
    <w:rsid w:val="00A463D9"/>
    <w:rsid w:val="00A46E36"/>
    <w:rsid w:val="00A471EC"/>
    <w:rsid w:val="00A50AEC"/>
    <w:rsid w:val="00A514D1"/>
    <w:rsid w:val="00A51A49"/>
    <w:rsid w:val="00A51D74"/>
    <w:rsid w:val="00A52214"/>
    <w:rsid w:val="00A52BC6"/>
    <w:rsid w:val="00A56B57"/>
    <w:rsid w:val="00A600E1"/>
    <w:rsid w:val="00A60B4A"/>
    <w:rsid w:val="00A60C41"/>
    <w:rsid w:val="00A60C4B"/>
    <w:rsid w:val="00A61D79"/>
    <w:rsid w:val="00A6230D"/>
    <w:rsid w:val="00A629E9"/>
    <w:rsid w:val="00A63868"/>
    <w:rsid w:val="00A63BCC"/>
    <w:rsid w:val="00A64044"/>
    <w:rsid w:val="00A64EEE"/>
    <w:rsid w:val="00A65E78"/>
    <w:rsid w:val="00A66216"/>
    <w:rsid w:val="00A67333"/>
    <w:rsid w:val="00A673B9"/>
    <w:rsid w:val="00A727DF"/>
    <w:rsid w:val="00A737EB"/>
    <w:rsid w:val="00A7391F"/>
    <w:rsid w:val="00A73F45"/>
    <w:rsid w:val="00A75ADB"/>
    <w:rsid w:val="00A774D3"/>
    <w:rsid w:val="00A77D23"/>
    <w:rsid w:val="00A80375"/>
    <w:rsid w:val="00A82172"/>
    <w:rsid w:val="00A8293E"/>
    <w:rsid w:val="00A82D57"/>
    <w:rsid w:val="00A82EB2"/>
    <w:rsid w:val="00A85D6A"/>
    <w:rsid w:val="00A87549"/>
    <w:rsid w:val="00A900F0"/>
    <w:rsid w:val="00A90166"/>
    <w:rsid w:val="00A9056C"/>
    <w:rsid w:val="00A921C2"/>
    <w:rsid w:val="00A92539"/>
    <w:rsid w:val="00A92EED"/>
    <w:rsid w:val="00A9310E"/>
    <w:rsid w:val="00A93BF3"/>
    <w:rsid w:val="00A95E8A"/>
    <w:rsid w:val="00A96FB8"/>
    <w:rsid w:val="00A97964"/>
    <w:rsid w:val="00AA117C"/>
    <w:rsid w:val="00AA23A7"/>
    <w:rsid w:val="00AA330F"/>
    <w:rsid w:val="00AA3782"/>
    <w:rsid w:val="00AA47C8"/>
    <w:rsid w:val="00AA5399"/>
    <w:rsid w:val="00AA5695"/>
    <w:rsid w:val="00AA6F66"/>
    <w:rsid w:val="00AA74C4"/>
    <w:rsid w:val="00AB1D27"/>
    <w:rsid w:val="00AB22EB"/>
    <w:rsid w:val="00AB5A7E"/>
    <w:rsid w:val="00AC1252"/>
    <w:rsid w:val="00AC136C"/>
    <w:rsid w:val="00AC269B"/>
    <w:rsid w:val="00AC2A99"/>
    <w:rsid w:val="00AC4393"/>
    <w:rsid w:val="00AC7E94"/>
    <w:rsid w:val="00AC7FCF"/>
    <w:rsid w:val="00AD00BB"/>
    <w:rsid w:val="00AD292F"/>
    <w:rsid w:val="00AD42B3"/>
    <w:rsid w:val="00AD5C07"/>
    <w:rsid w:val="00AD7549"/>
    <w:rsid w:val="00AE03C9"/>
    <w:rsid w:val="00AE0E07"/>
    <w:rsid w:val="00AE1042"/>
    <w:rsid w:val="00AE197C"/>
    <w:rsid w:val="00AE1D25"/>
    <w:rsid w:val="00AE1F85"/>
    <w:rsid w:val="00AE23B4"/>
    <w:rsid w:val="00AE4FB6"/>
    <w:rsid w:val="00AE5670"/>
    <w:rsid w:val="00AE5E00"/>
    <w:rsid w:val="00AE6360"/>
    <w:rsid w:val="00AE75FD"/>
    <w:rsid w:val="00AF2FFE"/>
    <w:rsid w:val="00AF34FF"/>
    <w:rsid w:val="00AF4514"/>
    <w:rsid w:val="00AF4875"/>
    <w:rsid w:val="00AF55CC"/>
    <w:rsid w:val="00AF5FD0"/>
    <w:rsid w:val="00AF62D6"/>
    <w:rsid w:val="00AF6467"/>
    <w:rsid w:val="00AF694E"/>
    <w:rsid w:val="00B00030"/>
    <w:rsid w:val="00B00D8E"/>
    <w:rsid w:val="00B011AC"/>
    <w:rsid w:val="00B020CC"/>
    <w:rsid w:val="00B02E6B"/>
    <w:rsid w:val="00B03AF0"/>
    <w:rsid w:val="00B04889"/>
    <w:rsid w:val="00B05579"/>
    <w:rsid w:val="00B05DCA"/>
    <w:rsid w:val="00B06E45"/>
    <w:rsid w:val="00B1012B"/>
    <w:rsid w:val="00B115EB"/>
    <w:rsid w:val="00B1193E"/>
    <w:rsid w:val="00B13100"/>
    <w:rsid w:val="00B13A12"/>
    <w:rsid w:val="00B14331"/>
    <w:rsid w:val="00B14DD8"/>
    <w:rsid w:val="00B157FF"/>
    <w:rsid w:val="00B17D4C"/>
    <w:rsid w:val="00B20B84"/>
    <w:rsid w:val="00B20C77"/>
    <w:rsid w:val="00B236A2"/>
    <w:rsid w:val="00B23F06"/>
    <w:rsid w:val="00B248CC"/>
    <w:rsid w:val="00B24F73"/>
    <w:rsid w:val="00B25245"/>
    <w:rsid w:val="00B26B61"/>
    <w:rsid w:val="00B26D48"/>
    <w:rsid w:val="00B27C80"/>
    <w:rsid w:val="00B27E29"/>
    <w:rsid w:val="00B30085"/>
    <w:rsid w:val="00B30391"/>
    <w:rsid w:val="00B333C9"/>
    <w:rsid w:val="00B364B6"/>
    <w:rsid w:val="00B36919"/>
    <w:rsid w:val="00B40303"/>
    <w:rsid w:val="00B404DF"/>
    <w:rsid w:val="00B41915"/>
    <w:rsid w:val="00B42AFA"/>
    <w:rsid w:val="00B4567B"/>
    <w:rsid w:val="00B463E6"/>
    <w:rsid w:val="00B50AA4"/>
    <w:rsid w:val="00B5121F"/>
    <w:rsid w:val="00B51736"/>
    <w:rsid w:val="00B522A1"/>
    <w:rsid w:val="00B52A15"/>
    <w:rsid w:val="00B5336A"/>
    <w:rsid w:val="00B54EB1"/>
    <w:rsid w:val="00B564EC"/>
    <w:rsid w:val="00B57F75"/>
    <w:rsid w:val="00B617B4"/>
    <w:rsid w:val="00B617D8"/>
    <w:rsid w:val="00B62C21"/>
    <w:rsid w:val="00B6404E"/>
    <w:rsid w:val="00B65B20"/>
    <w:rsid w:val="00B6605E"/>
    <w:rsid w:val="00B665B1"/>
    <w:rsid w:val="00B67349"/>
    <w:rsid w:val="00B67C54"/>
    <w:rsid w:val="00B70021"/>
    <w:rsid w:val="00B70AD0"/>
    <w:rsid w:val="00B70F22"/>
    <w:rsid w:val="00B731F1"/>
    <w:rsid w:val="00B74412"/>
    <w:rsid w:val="00B76291"/>
    <w:rsid w:val="00B767FB"/>
    <w:rsid w:val="00B804DE"/>
    <w:rsid w:val="00B81141"/>
    <w:rsid w:val="00B81C7F"/>
    <w:rsid w:val="00B83832"/>
    <w:rsid w:val="00B87230"/>
    <w:rsid w:val="00B8792A"/>
    <w:rsid w:val="00B8799B"/>
    <w:rsid w:val="00B87E72"/>
    <w:rsid w:val="00B92406"/>
    <w:rsid w:val="00B93291"/>
    <w:rsid w:val="00B954D9"/>
    <w:rsid w:val="00B95FB1"/>
    <w:rsid w:val="00B96E09"/>
    <w:rsid w:val="00B97682"/>
    <w:rsid w:val="00B97E83"/>
    <w:rsid w:val="00BA0F3B"/>
    <w:rsid w:val="00BA1A50"/>
    <w:rsid w:val="00BA256E"/>
    <w:rsid w:val="00BA4E21"/>
    <w:rsid w:val="00BA53D2"/>
    <w:rsid w:val="00BB076E"/>
    <w:rsid w:val="00BB2633"/>
    <w:rsid w:val="00BB388F"/>
    <w:rsid w:val="00BB4302"/>
    <w:rsid w:val="00BB4D5F"/>
    <w:rsid w:val="00BB6B9B"/>
    <w:rsid w:val="00BB6F65"/>
    <w:rsid w:val="00BB763A"/>
    <w:rsid w:val="00BC01E2"/>
    <w:rsid w:val="00BC086B"/>
    <w:rsid w:val="00BC4376"/>
    <w:rsid w:val="00BC486A"/>
    <w:rsid w:val="00BC4DBA"/>
    <w:rsid w:val="00BC560E"/>
    <w:rsid w:val="00BC5BA8"/>
    <w:rsid w:val="00BC658E"/>
    <w:rsid w:val="00BC762A"/>
    <w:rsid w:val="00BD03F0"/>
    <w:rsid w:val="00BD0632"/>
    <w:rsid w:val="00BD0BA0"/>
    <w:rsid w:val="00BD17BB"/>
    <w:rsid w:val="00BD207A"/>
    <w:rsid w:val="00BD29C7"/>
    <w:rsid w:val="00BD3032"/>
    <w:rsid w:val="00BD4904"/>
    <w:rsid w:val="00BD4A20"/>
    <w:rsid w:val="00BD588F"/>
    <w:rsid w:val="00BD6038"/>
    <w:rsid w:val="00BD78F1"/>
    <w:rsid w:val="00BE00CF"/>
    <w:rsid w:val="00BE1BC8"/>
    <w:rsid w:val="00BE2D62"/>
    <w:rsid w:val="00BE5616"/>
    <w:rsid w:val="00BE5BA1"/>
    <w:rsid w:val="00BE5DF5"/>
    <w:rsid w:val="00BE6A61"/>
    <w:rsid w:val="00BE6DD0"/>
    <w:rsid w:val="00BF070C"/>
    <w:rsid w:val="00BF2047"/>
    <w:rsid w:val="00BF39E6"/>
    <w:rsid w:val="00BF5CB3"/>
    <w:rsid w:val="00BF73A5"/>
    <w:rsid w:val="00C0123B"/>
    <w:rsid w:val="00C016A6"/>
    <w:rsid w:val="00C01A87"/>
    <w:rsid w:val="00C02F62"/>
    <w:rsid w:val="00C03283"/>
    <w:rsid w:val="00C03A32"/>
    <w:rsid w:val="00C04CCA"/>
    <w:rsid w:val="00C10C21"/>
    <w:rsid w:val="00C10F2E"/>
    <w:rsid w:val="00C1382F"/>
    <w:rsid w:val="00C13F6F"/>
    <w:rsid w:val="00C14256"/>
    <w:rsid w:val="00C14F52"/>
    <w:rsid w:val="00C15839"/>
    <w:rsid w:val="00C20CC3"/>
    <w:rsid w:val="00C21ED0"/>
    <w:rsid w:val="00C2363C"/>
    <w:rsid w:val="00C25F64"/>
    <w:rsid w:val="00C26C45"/>
    <w:rsid w:val="00C26C5B"/>
    <w:rsid w:val="00C30480"/>
    <w:rsid w:val="00C31EBC"/>
    <w:rsid w:val="00C33B66"/>
    <w:rsid w:val="00C33FD3"/>
    <w:rsid w:val="00C34055"/>
    <w:rsid w:val="00C34E5A"/>
    <w:rsid w:val="00C34F46"/>
    <w:rsid w:val="00C36F61"/>
    <w:rsid w:val="00C422BD"/>
    <w:rsid w:val="00C42B06"/>
    <w:rsid w:val="00C43646"/>
    <w:rsid w:val="00C44294"/>
    <w:rsid w:val="00C44669"/>
    <w:rsid w:val="00C454D3"/>
    <w:rsid w:val="00C45567"/>
    <w:rsid w:val="00C464EB"/>
    <w:rsid w:val="00C465EB"/>
    <w:rsid w:val="00C46F69"/>
    <w:rsid w:val="00C475E7"/>
    <w:rsid w:val="00C47AA7"/>
    <w:rsid w:val="00C5092F"/>
    <w:rsid w:val="00C5098E"/>
    <w:rsid w:val="00C53C39"/>
    <w:rsid w:val="00C5548F"/>
    <w:rsid w:val="00C554E8"/>
    <w:rsid w:val="00C55867"/>
    <w:rsid w:val="00C56856"/>
    <w:rsid w:val="00C602C1"/>
    <w:rsid w:val="00C6283F"/>
    <w:rsid w:val="00C63ECF"/>
    <w:rsid w:val="00C702B9"/>
    <w:rsid w:val="00C717F5"/>
    <w:rsid w:val="00C73824"/>
    <w:rsid w:val="00C7474E"/>
    <w:rsid w:val="00C74ADA"/>
    <w:rsid w:val="00C752B1"/>
    <w:rsid w:val="00C7538F"/>
    <w:rsid w:val="00C7620D"/>
    <w:rsid w:val="00C76ECA"/>
    <w:rsid w:val="00C77162"/>
    <w:rsid w:val="00C77D6A"/>
    <w:rsid w:val="00C82487"/>
    <w:rsid w:val="00C82764"/>
    <w:rsid w:val="00C83D20"/>
    <w:rsid w:val="00C85D7E"/>
    <w:rsid w:val="00C85EB7"/>
    <w:rsid w:val="00C8684A"/>
    <w:rsid w:val="00C92852"/>
    <w:rsid w:val="00C92BDE"/>
    <w:rsid w:val="00C92F8F"/>
    <w:rsid w:val="00C93AF3"/>
    <w:rsid w:val="00C95847"/>
    <w:rsid w:val="00CA0D12"/>
    <w:rsid w:val="00CA10D6"/>
    <w:rsid w:val="00CA1A2D"/>
    <w:rsid w:val="00CA31B2"/>
    <w:rsid w:val="00CA548D"/>
    <w:rsid w:val="00CA5661"/>
    <w:rsid w:val="00CA6239"/>
    <w:rsid w:val="00CB0667"/>
    <w:rsid w:val="00CB0AC0"/>
    <w:rsid w:val="00CB0BA0"/>
    <w:rsid w:val="00CB18ED"/>
    <w:rsid w:val="00CB47E4"/>
    <w:rsid w:val="00CB683B"/>
    <w:rsid w:val="00CB7262"/>
    <w:rsid w:val="00CC0725"/>
    <w:rsid w:val="00CC3528"/>
    <w:rsid w:val="00CC3D6B"/>
    <w:rsid w:val="00CC449B"/>
    <w:rsid w:val="00CC5D8F"/>
    <w:rsid w:val="00CD0875"/>
    <w:rsid w:val="00CD1181"/>
    <w:rsid w:val="00CD27FA"/>
    <w:rsid w:val="00CD2C3C"/>
    <w:rsid w:val="00CD3C4E"/>
    <w:rsid w:val="00CD407B"/>
    <w:rsid w:val="00CD6C6D"/>
    <w:rsid w:val="00CD6E54"/>
    <w:rsid w:val="00CE1EB0"/>
    <w:rsid w:val="00CE23DE"/>
    <w:rsid w:val="00CE260A"/>
    <w:rsid w:val="00CE2904"/>
    <w:rsid w:val="00CE3E43"/>
    <w:rsid w:val="00CE4C99"/>
    <w:rsid w:val="00CE562D"/>
    <w:rsid w:val="00CF09DE"/>
    <w:rsid w:val="00CF181E"/>
    <w:rsid w:val="00CF250C"/>
    <w:rsid w:val="00CF35DB"/>
    <w:rsid w:val="00CF3C19"/>
    <w:rsid w:val="00CF4046"/>
    <w:rsid w:val="00CF4B8B"/>
    <w:rsid w:val="00CF5B13"/>
    <w:rsid w:val="00CF7F16"/>
    <w:rsid w:val="00D0249D"/>
    <w:rsid w:val="00D03608"/>
    <w:rsid w:val="00D04462"/>
    <w:rsid w:val="00D04E9A"/>
    <w:rsid w:val="00D06B68"/>
    <w:rsid w:val="00D07210"/>
    <w:rsid w:val="00D0799A"/>
    <w:rsid w:val="00D13E87"/>
    <w:rsid w:val="00D141D3"/>
    <w:rsid w:val="00D1482C"/>
    <w:rsid w:val="00D14F1D"/>
    <w:rsid w:val="00D16E8A"/>
    <w:rsid w:val="00D176C7"/>
    <w:rsid w:val="00D17FE2"/>
    <w:rsid w:val="00D200A1"/>
    <w:rsid w:val="00D202DD"/>
    <w:rsid w:val="00D20699"/>
    <w:rsid w:val="00D22DD8"/>
    <w:rsid w:val="00D241CC"/>
    <w:rsid w:val="00D24D94"/>
    <w:rsid w:val="00D26758"/>
    <w:rsid w:val="00D2697B"/>
    <w:rsid w:val="00D26BD5"/>
    <w:rsid w:val="00D30CA1"/>
    <w:rsid w:val="00D30F45"/>
    <w:rsid w:val="00D337D7"/>
    <w:rsid w:val="00D34982"/>
    <w:rsid w:val="00D3509F"/>
    <w:rsid w:val="00D40B58"/>
    <w:rsid w:val="00D40FF2"/>
    <w:rsid w:val="00D42867"/>
    <w:rsid w:val="00D432FA"/>
    <w:rsid w:val="00D45298"/>
    <w:rsid w:val="00D45E3E"/>
    <w:rsid w:val="00D45FDD"/>
    <w:rsid w:val="00D46201"/>
    <w:rsid w:val="00D47BC9"/>
    <w:rsid w:val="00D50ED6"/>
    <w:rsid w:val="00D55674"/>
    <w:rsid w:val="00D561BC"/>
    <w:rsid w:val="00D57CDF"/>
    <w:rsid w:val="00D607F4"/>
    <w:rsid w:val="00D6238E"/>
    <w:rsid w:val="00D62610"/>
    <w:rsid w:val="00D630FB"/>
    <w:rsid w:val="00D642E7"/>
    <w:rsid w:val="00D6487B"/>
    <w:rsid w:val="00D664DD"/>
    <w:rsid w:val="00D72233"/>
    <w:rsid w:val="00D722ED"/>
    <w:rsid w:val="00D7607D"/>
    <w:rsid w:val="00D766EF"/>
    <w:rsid w:val="00D77350"/>
    <w:rsid w:val="00D8265E"/>
    <w:rsid w:val="00D82F4A"/>
    <w:rsid w:val="00D8400A"/>
    <w:rsid w:val="00D86FC2"/>
    <w:rsid w:val="00D87DD0"/>
    <w:rsid w:val="00D90168"/>
    <w:rsid w:val="00D9100A"/>
    <w:rsid w:val="00D91221"/>
    <w:rsid w:val="00D91530"/>
    <w:rsid w:val="00D94281"/>
    <w:rsid w:val="00D9477E"/>
    <w:rsid w:val="00D94F76"/>
    <w:rsid w:val="00D94FB8"/>
    <w:rsid w:val="00D97CD3"/>
    <w:rsid w:val="00DA05AD"/>
    <w:rsid w:val="00DA13C1"/>
    <w:rsid w:val="00DA2046"/>
    <w:rsid w:val="00DA2AAE"/>
    <w:rsid w:val="00DA45D9"/>
    <w:rsid w:val="00DA5D06"/>
    <w:rsid w:val="00DA7F0E"/>
    <w:rsid w:val="00DB0555"/>
    <w:rsid w:val="00DB10F1"/>
    <w:rsid w:val="00DB2869"/>
    <w:rsid w:val="00DB2C4C"/>
    <w:rsid w:val="00DB3667"/>
    <w:rsid w:val="00DB3F9A"/>
    <w:rsid w:val="00DB40C6"/>
    <w:rsid w:val="00DB43C8"/>
    <w:rsid w:val="00DB48F3"/>
    <w:rsid w:val="00DB534F"/>
    <w:rsid w:val="00DC0CBC"/>
    <w:rsid w:val="00DC1B22"/>
    <w:rsid w:val="00DC2122"/>
    <w:rsid w:val="00DC515C"/>
    <w:rsid w:val="00DC573D"/>
    <w:rsid w:val="00DC66F3"/>
    <w:rsid w:val="00DC78B1"/>
    <w:rsid w:val="00DD1631"/>
    <w:rsid w:val="00DD2B2B"/>
    <w:rsid w:val="00DD4714"/>
    <w:rsid w:val="00DD4B1F"/>
    <w:rsid w:val="00DD4D51"/>
    <w:rsid w:val="00DD545C"/>
    <w:rsid w:val="00DD64E5"/>
    <w:rsid w:val="00DD682C"/>
    <w:rsid w:val="00DD6B63"/>
    <w:rsid w:val="00DD72D6"/>
    <w:rsid w:val="00DD76A7"/>
    <w:rsid w:val="00DD7927"/>
    <w:rsid w:val="00DD7EB2"/>
    <w:rsid w:val="00DE5ABE"/>
    <w:rsid w:val="00DE78D3"/>
    <w:rsid w:val="00DF0C19"/>
    <w:rsid w:val="00DF1382"/>
    <w:rsid w:val="00DF1436"/>
    <w:rsid w:val="00DF1D48"/>
    <w:rsid w:val="00DF2B43"/>
    <w:rsid w:val="00DF330F"/>
    <w:rsid w:val="00DF33D3"/>
    <w:rsid w:val="00DF4241"/>
    <w:rsid w:val="00DF45C6"/>
    <w:rsid w:val="00DF47EF"/>
    <w:rsid w:val="00DF65F6"/>
    <w:rsid w:val="00DF74DF"/>
    <w:rsid w:val="00E001B6"/>
    <w:rsid w:val="00E010E6"/>
    <w:rsid w:val="00E018EB"/>
    <w:rsid w:val="00E0295D"/>
    <w:rsid w:val="00E02AB2"/>
    <w:rsid w:val="00E03F9C"/>
    <w:rsid w:val="00E04318"/>
    <w:rsid w:val="00E0634C"/>
    <w:rsid w:val="00E07D50"/>
    <w:rsid w:val="00E11308"/>
    <w:rsid w:val="00E121ED"/>
    <w:rsid w:val="00E1307B"/>
    <w:rsid w:val="00E1460E"/>
    <w:rsid w:val="00E147A3"/>
    <w:rsid w:val="00E14F72"/>
    <w:rsid w:val="00E15230"/>
    <w:rsid w:val="00E152AF"/>
    <w:rsid w:val="00E16306"/>
    <w:rsid w:val="00E16978"/>
    <w:rsid w:val="00E171D3"/>
    <w:rsid w:val="00E17B22"/>
    <w:rsid w:val="00E20BD2"/>
    <w:rsid w:val="00E22894"/>
    <w:rsid w:val="00E229ED"/>
    <w:rsid w:val="00E253C0"/>
    <w:rsid w:val="00E2646D"/>
    <w:rsid w:val="00E26A03"/>
    <w:rsid w:val="00E31CDF"/>
    <w:rsid w:val="00E31EFB"/>
    <w:rsid w:val="00E32AEC"/>
    <w:rsid w:val="00E330A4"/>
    <w:rsid w:val="00E348E5"/>
    <w:rsid w:val="00E34EEA"/>
    <w:rsid w:val="00E3573A"/>
    <w:rsid w:val="00E35C3F"/>
    <w:rsid w:val="00E35C69"/>
    <w:rsid w:val="00E37410"/>
    <w:rsid w:val="00E3776F"/>
    <w:rsid w:val="00E37937"/>
    <w:rsid w:val="00E37DAC"/>
    <w:rsid w:val="00E40CC1"/>
    <w:rsid w:val="00E425DB"/>
    <w:rsid w:val="00E43A91"/>
    <w:rsid w:val="00E4476B"/>
    <w:rsid w:val="00E44F98"/>
    <w:rsid w:val="00E45372"/>
    <w:rsid w:val="00E4551E"/>
    <w:rsid w:val="00E461C8"/>
    <w:rsid w:val="00E46F21"/>
    <w:rsid w:val="00E50CC9"/>
    <w:rsid w:val="00E51232"/>
    <w:rsid w:val="00E53658"/>
    <w:rsid w:val="00E53DE5"/>
    <w:rsid w:val="00E54E66"/>
    <w:rsid w:val="00E55450"/>
    <w:rsid w:val="00E576CA"/>
    <w:rsid w:val="00E57B12"/>
    <w:rsid w:val="00E611DB"/>
    <w:rsid w:val="00E61AA6"/>
    <w:rsid w:val="00E61E77"/>
    <w:rsid w:val="00E64B90"/>
    <w:rsid w:val="00E6505A"/>
    <w:rsid w:val="00E65619"/>
    <w:rsid w:val="00E65E29"/>
    <w:rsid w:val="00E700BE"/>
    <w:rsid w:val="00E70C5F"/>
    <w:rsid w:val="00E715F6"/>
    <w:rsid w:val="00E73E0E"/>
    <w:rsid w:val="00E7411E"/>
    <w:rsid w:val="00E7586D"/>
    <w:rsid w:val="00E83ED3"/>
    <w:rsid w:val="00E878E4"/>
    <w:rsid w:val="00E9175E"/>
    <w:rsid w:val="00E91795"/>
    <w:rsid w:val="00E91AF0"/>
    <w:rsid w:val="00E93EA6"/>
    <w:rsid w:val="00E94BD2"/>
    <w:rsid w:val="00E96CD3"/>
    <w:rsid w:val="00E96EF6"/>
    <w:rsid w:val="00E97172"/>
    <w:rsid w:val="00E97916"/>
    <w:rsid w:val="00E97A89"/>
    <w:rsid w:val="00EA2D56"/>
    <w:rsid w:val="00EA522F"/>
    <w:rsid w:val="00EB026D"/>
    <w:rsid w:val="00EB068B"/>
    <w:rsid w:val="00EB3383"/>
    <w:rsid w:val="00EB62BE"/>
    <w:rsid w:val="00EB63BB"/>
    <w:rsid w:val="00EB6A4E"/>
    <w:rsid w:val="00EC1D98"/>
    <w:rsid w:val="00EC2E96"/>
    <w:rsid w:val="00EC4910"/>
    <w:rsid w:val="00EC603A"/>
    <w:rsid w:val="00EC6831"/>
    <w:rsid w:val="00EC7DB7"/>
    <w:rsid w:val="00ED09B6"/>
    <w:rsid w:val="00ED0B81"/>
    <w:rsid w:val="00ED29F8"/>
    <w:rsid w:val="00ED2E49"/>
    <w:rsid w:val="00ED2F98"/>
    <w:rsid w:val="00ED565E"/>
    <w:rsid w:val="00ED5AC0"/>
    <w:rsid w:val="00ED7958"/>
    <w:rsid w:val="00ED7D65"/>
    <w:rsid w:val="00EE0152"/>
    <w:rsid w:val="00EE0FCA"/>
    <w:rsid w:val="00EE18C0"/>
    <w:rsid w:val="00EE3D0A"/>
    <w:rsid w:val="00EE3DA1"/>
    <w:rsid w:val="00EE73BA"/>
    <w:rsid w:val="00EE79F0"/>
    <w:rsid w:val="00EF06A5"/>
    <w:rsid w:val="00EF1C4C"/>
    <w:rsid w:val="00EF329A"/>
    <w:rsid w:val="00EF36A0"/>
    <w:rsid w:val="00EF39D0"/>
    <w:rsid w:val="00EF445F"/>
    <w:rsid w:val="00EF72E1"/>
    <w:rsid w:val="00F00219"/>
    <w:rsid w:val="00F018C2"/>
    <w:rsid w:val="00F01E5C"/>
    <w:rsid w:val="00F0222B"/>
    <w:rsid w:val="00F02900"/>
    <w:rsid w:val="00F02F8D"/>
    <w:rsid w:val="00F030FA"/>
    <w:rsid w:val="00F03BE7"/>
    <w:rsid w:val="00F04009"/>
    <w:rsid w:val="00F04298"/>
    <w:rsid w:val="00F05246"/>
    <w:rsid w:val="00F0602E"/>
    <w:rsid w:val="00F1172D"/>
    <w:rsid w:val="00F12F42"/>
    <w:rsid w:val="00F1376D"/>
    <w:rsid w:val="00F15953"/>
    <w:rsid w:val="00F15B85"/>
    <w:rsid w:val="00F1620B"/>
    <w:rsid w:val="00F16DFA"/>
    <w:rsid w:val="00F200B6"/>
    <w:rsid w:val="00F21308"/>
    <w:rsid w:val="00F213D8"/>
    <w:rsid w:val="00F218AE"/>
    <w:rsid w:val="00F21F80"/>
    <w:rsid w:val="00F21FCA"/>
    <w:rsid w:val="00F2214B"/>
    <w:rsid w:val="00F221A9"/>
    <w:rsid w:val="00F2284E"/>
    <w:rsid w:val="00F24010"/>
    <w:rsid w:val="00F25805"/>
    <w:rsid w:val="00F25B4A"/>
    <w:rsid w:val="00F2787C"/>
    <w:rsid w:val="00F30818"/>
    <w:rsid w:val="00F31B25"/>
    <w:rsid w:val="00F31F8E"/>
    <w:rsid w:val="00F322BC"/>
    <w:rsid w:val="00F328D6"/>
    <w:rsid w:val="00F33239"/>
    <w:rsid w:val="00F33D5F"/>
    <w:rsid w:val="00F34FDD"/>
    <w:rsid w:val="00F34FFC"/>
    <w:rsid w:val="00F35117"/>
    <w:rsid w:val="00F352A5"/>
    <w:rsid w:val="00F354C7"/>
    <w:rsid w:val="00F414A7"/>
    <w:rsid w:val="00F427AC"/>
    <w:rsid w:val="00F447B2"/>
    <w:rsid w:val="00F46F71"/>
    <w:rsid w:val="00F4769A"/>
    <w:rsid w:val="00F47949"/>
    <w:rsid w:val="00F479BC"/>
    <w:rsid w:val="00F52776"/>
    <w:rsid w:val="00F53F64"/>
    <w:rsid w:val="00F56378"/>
    <w:rsid w:val="00F57B00"/>
    <w:rsid w:val="00F60804"/>
    <w:rsid w:val="00F61368"/>
    <w:rsid w:val="00F627C9"/>
    <w:rsid w:val="00F63902"/>
    <w:rsid w:val="00F639D6"/>
    <w:rsid w:val="00F64A4F"/>
    <w:rsid w:val="00F651D1"/>
    <w:rsid w:val="00F6570E"/>
    <w:rsid w:val="00F674E6"/>
    <w:rsid w:val="00F67FAD"/>
    <w:rsid w:val="00F70249"/>
    <w:rsid w:val="00F71BA2"/>
    <w:rsid w:val="00F71C67"/>
    <w:rsid w:val="00F75251"/>
    <w:rsid w:val="00F75506"/>
    <w:rsid w:val="00F76178"/>
    <w:rsid w:val="00F76624"/>
    <w:rsid w:val="00F771F1"/>
    <w:rsid w:val="00F77781"/>
    <w:rsid w:val="00F77F16"/>
    <w:rsid w:val="00F83862"/>
    <w:rsid w:val="00F842B0"/>
    <w:rsid w:val="00F8453B"/>
    <w:rsid w:val="00F85C13"/>
    <w:rsid w:val="00F866D1"/>
    <w:rsid w:val="00F90F17"/>
    <w:rsid w:val="00F90F66"/>
    <w:rsid w:val="00F91675"/>
    <w:rsid w:val="00F91BAE"/>
    <w:rsid w:val="00F96205"/>
    <w:rsid w:val="00FA02E2"/>
    <w:rsid w:val="00FA04DD"/>
    <w:rsid w:val="00FA09F3"/>
    <w:rsid w:val="00FA0DE8"/>
    <w:rsid w:val="00FA1AF5"/>
    <w:rsid w:val="00FA2940"/>
    <w:rsid w:val="00FA2A7D"/>
    <w:rsid w:val="00FA4235"/>
    <w:rsid w:val="00FA5141"/>
    <w:rsid w:val="00FA59BE"/>
    <w:rsid w:val="00FA5B26"/>
    <w:rsid w:val="00FA697E"/>
    <w:rsid w:val="00FA7BB4"/>
    <w:rsid w:val="00FB3A65"/>
    <w:rsid w:val="00FB484E"/>
    <w:rsid w:val="00FB5589"/>
    <w:rsid w:val="00FB7CBD"/>
    <w:rsid w:val="00FB7DEF"/>
    <w:rsid w:val="00FC1A5C"/>
    <w:rsid w:val="00FC1F4C"/>
    <w:rsid w:val="00FC340C"/>
    <w:rsid w:val="00FC4578"/>
    <w:rsid w:val="00FC4762"/>
    <w:rsid w:val="00FC5713"/>
    <w:rsid w:val="00FC5F6B"/>
    <w:rsid w:val="00FC626E"/>
    <w:rsid w:val="00FC7556"/>
    <w:rsid w:val="00FC7C1F"/>
    <w:rsid w:val="00FD2159"/>
    <w:rsid w:val="00FD40C9"/>
    <w:rsid w:val="00FD4174"/>
    <w:rsid w:val="00FD4542"/>
    <w:rsid w:val="00FD45D3"/>
    <w:rsid w:val="00FD6B4F"/>
    <w:rsid w:val="00FD7F60"/>
    <w:rsid w:val="00FE0AD8"/>
    <w:rsid w:val="00FE12C4"/>
    <w:rsid w:val="00FE413E"/>
    <w:rsid w:val="00FE6539"/>
    <w:rsid w:val="00FE7070"/>
    <w:rsid w:val="00FF33C7"/>
    <w:rsid w:val="00FF58F7"/>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EF8AC2-CF6E-4B0A-BE90-B3D45963D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F75"/>
    <w:rPr>
      <w:noProof/>
      <w:lang w:val="bs-Latn-BA"/>
    </w:rPr>
  </w:style>
  <w:style w:type="paragraph" w:styleId="Heading2">
    <w:name w:val="heading 2"/>
    <w:aliases w:val="Text Char,Text"/>
    <w:basedOn w:val="Normal"/>
    <w:next w:val="Normal"/>
    <w:link w:val="Heading2Char"/>
    <w:qFormat/>
    <w:rsid w:val="00761741"/>
    <w:pPr>
      <w:keepNext/>
      <w:keepLines/>
      <w:spacing w:before="200" w:after="0"/>
      <w:outlineLvl w:val="1"/>
    </w:pPr>
    <w:rPr>
      <w:rFonts w:ascii="Cambria" w:eastAsia="Times New Roman" w:hAnsi="Cambria" w:cs="Times New Roman"/>
      <w:b/>
      <w:bCs/>
      <w:noProof w:val="0"/>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0500BA"/>
    <w:pPr>
      <w:spacing w:after="0" w:line="240" w:lineRule="auto"/>
    </w:pPr>
    <w:rPr>
      <w:rFonts w:eastAsiaTheme="minorEastAsia"/>
    </w:rPr>
  </w:style>
  <w:style w:type="character" w:customStyle="1" w:styleId="NoSpacingChar">
    <w:name w:val="No Spacing Char"/>
    <w:basedOn w:val="DefaultParagraphFont"/>
    <w:link w:val="NoSpacing"/>
    <w:uiPriority w:val="1"/>
    <w:rsid w:val="000500BA"/>
    <w:rPr>
      <w:rFonts w:eastAsiaTheme="minorEastAsia"/>
    </w:rPr>
  </w:style>
  <w:style w:type="paragraph" w:styleId="BalloonText">
    <w:name w:val="Balloon Text"/>
    <w:basedOn w:val="Normal"/>
    <w:link w:val="BalloonTextChar"/>
    <w:uiPriority w:val="99"/>
    <w:semiHidden/>
    <w:unhideWhenUsed/>
    <w:rsid w:val="000500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0BA"/>
    <w:rPr>
      <w:rFonts w:ascii="Tahoma" w:hAnsi="Tahoma" w:cs="Tahoma"/>
      <w:noProof/>
      <w:sz w:val="16"/>
      <w:szCs w:val="16"/>
      <w:lang w:val="bs-Latn-BA"/>
    </w:rPr>
  </w:style>
  <w:style w:type="paragraph" w:styleId="Header">
    <w:name w:val="header"/>
    <w:basedOn w:val="Normal"/>
    <w:link w:val="HeaderChar"/>
    <w:unhideWhenUsed/>
    <w:rsid w:val="00FA0DE8"/>
    <w:pPr>
      <w:tabs>
        <w:tab w:val="center" w:pos="4680"/>
        <w:tab w:val="right" w:pos="9360"/>
      </w:tabs>
      <w:spacing w:after="0" w:line="240" w:lineRule="auto"/>
    </w:pPr>
  </w:style>
  <w:style w:type="character" w:customStyle="1" w:styleId="HeaderChar">
    <w:name w:val="Header Char"/>
    <w:basedOn w:val="DefaultParagraphFont"/>
    <w:link w:val="Header"/>
    <w:rsid w:val="00FA0DE8"/>
    <w:rPr>
      <w:noProof/>
      <w:lang w:val="bs-Latn-BA"/>
    </w:rPr>
  </w:style>
  <w:style w:type="paragraph" w:styleId="Footer">
    <w:name w:val="footer"/>
    <w:basedOn w:val="Normal"/>
    <w:link w:val="FooterChar"/>
    <w:uiPriority w:val="99"/>
    <w:unhideWhenUsed/>
    <w:rsid w:val="00FA0D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DE8"/>
    <w:rPr>
      <w:noProof/>
      <w:lang w:val="bs-Latn-BA"/>
    </w:rPr>
  </w:style>
  <w:style w:type="paragraph" w:styleId="ListParagraph">
    <w:name w:val="List Paragraph"/>
    <w:basedOn w:val="Normal"/>
    <w:uiPriority w:val="34"/>
    <w:qFormat/>
    <w:rsid w:val="00A378BF"/>
    <w:pPr>
      <w:ind w:left="720"/>
      <w:contextualSpacing/>
    </w:pPr>
  </w:style>
  <w:style w:type="paragraph" w:styleId="FootnoteText">
    <w:name w:val="footnote text"/>
    <w:aliases w:val="Footnote Text Char1 Char,Footnote Text Char Char1 Char, Char1 Char Char1 Char,Footnote Text Char Char Char Char, Char1 Char Char Char Char, Char Char Char Char,List Bullet Char1 Char,List Bullet Char Char Char,Footnote Text Char1,Char,fn"/>
    <w:basedOn w:val="Normal"/>
    <w:link w:val="FootnoteTextChar"/>
    <w:uiPriority w:val="99"/>
    <w:unhideWhenUsed/>
    <w:rsid w:val="001B4417"/>
    <w:pPr>
      <w:spacing w:after="0" w:line="240" w:lineRule="auto"/>
    </w:pPr>
    <w:rPr>
      <w:sz w:val="20"/>
      <w:szCs w:val="20"/>
    </w:rPr>
  </w:style>
  <w:style w:type="character" w:customStyle="1" w:styleId="FootnoteTextChar">
    <w:name w:val="Footnote Text Char"/>
    <w:aliases w:val="Footnote Text Char1 Char Char,Footnote Text Char Char1 Char Char, Char1 Char Char1 Char Char,Footnote Text Char Char Char Char Char, Char1 Char Char Char Char Char, Char Char Char Char Char,List Bullet Char1 Char Char,Char Char"/>
    <w:basedOn w:val="DefaultParagraphFont"/>
    <w:link w:val="FootnoteText"/>
    <w:uiPriority w:val="99"/>
    <w:rsid w:val="001B4417"/>
    <w:rPr>
      <w:noProof/>
      <w:sz w:val="20"/>
      <w:szCs w:val="20"/>
      <w:lang w:val="bs-Latn-BA"/>
    </w:rPr>
  </w:style>
  <w:style w:type="character" w:styleId="FootnoteReference">
    <w:name w:val="footnote reference"/>
    <w:aliases w:val="ftref,Footnote Reference Superscript"/>
    <w:basedOn w:val="DefaultParagraphFont"/>
    <w:uiPriority w:val="99"/>
    <w:unhideWhenUsed/>
    <w:rsid w:val="001B4417"/>
    <w:rPr>
      <w:vertAlign w:val="superscript"/>
    </w:rPr>
  </w:style>
  <w:style w:type="paragraph" w:styleId="BodyText">
    <w:name w:val="Body Text"/>
    <w:basedOn w:val="Normal"/>
    <w:link w:val="BodyTextChar"/>
    <w:rsid w:val="008D7745"/>
    <w:pPr>
      <w:spacing w:after="0" w:line="240" w:lineRule="auto"/>
      <w:jc w:val="both"/>
    </w:pPr>
    <w:rPr>
      <w:rFonts w:ascii="Times New Roman" w:eastAsia="Times New Roman" w:hAnsi="Times New Roman" w:cs="Times New Roman"/>
      <w:noProof w:val="0"/>
      <w:szCs w:val="20"/>
      <w:lang w:val="hr-HR" w:eastAsia="hr-HR"/>
    </w:rPr>
  </w:style>
  <w:style w:type="character" w:customStyle="1" w:styleId="BodyTextChar">
    <w:name w:val="Body Text Char"/>
    <w:basedOn w:val="DefaultParagraphFont"/>
    <w:link w:val="BodyText"/>
    <w:rsid w:val="008D7745"/>
    <w:rPr>
      <w:rFonts w:ascii="Times New Roman" w:eastAsia="Times New Roman" w:hAnsi="Times New Roman" w:cs="Times New Roman"/>
      <w:szCs w:val="20"/>
      <w:lang w:val="hr-HR" w:eastAsia="hr-HR"/>
    </w:rPr>
  </w:style>
  <w:style w:type="paragraph" w:styleId="BodyText2">
    <w:name w:val="Body Text 2"/>
    <w:basedOn w:val="Normal"/>
    <w:link w:val="BodyText2Char"/>
    <w:uiPriority w:val="99"/>
    <w:semiHidden/>
    <w:unhideWhenUsed/>
    <w:rsid w:val="00A92EED"/>
    <w:pPr>
      <w:spacing w:after="120" w:line="480" w:lineRule="auto"/>
    </w:pPr>
  </w:style>
  <w:style w:type="character" w:customStyle="1" w:styleId="BodyText2Char">
    <w:name w:val="Body Text 2 Char"/>
    <w:basedOn w:val="DefaultParagraphFont"/>
    <w:link w:val="BodyText2"/>
    <w:uiPriority w:val="99"/>
    <w:semiHidden/>
    <w:rsid w:val="00A92EED"/>
    <w:rPr>
      <w:noProof/>
      <w:lang w:val="bs-Latn-BA"/>
    </w:rPr>
  </w:style>
  <w:style w:type="character" w:customStyle="1" w:styleId="Heading2Char">
    <w:name w:val="Heading 2 Char"/>
    <w:aliases w:val="Text Char Char,Text Char1"/>
    <w:basedOn w:val="DefaultParagraphFont"/>
    <w:link w:val="Heading2"/>
    <w:rsid w:val="00761741"/>
    <w:rPr>
      <w:rFonts w:ascii="Cambria" w:eastAsia="Times New Roman" w:hAnsi="Cambria" w:cs="Times New Roman"/>
      <w:b/>
      <w:bCs/>
      <w:color w:val="4F81BD"/>
      <w:sz w:val="26"/>
      <w:szCs w:val="26"/>
    </w:rPr>
  </w:style>
  <w:style w:type="paragraph" w:styleId="ListBullet">
    <w:name w:val="List Bullet"/>
    <w:aliases w:val=" Char"/>
    <w:basedOn w:val="Normal"/>
    <w:link w:val="ListBulletChar"/>
    <w:qFormat/>
    <w:rsid w:val="00E34EEA"/>
    <w:pPr>
      <w:numPr>
        <w:numId w:val="2"/>
      </w:numPr>
      <w:spacing w:after="240" w:line="264" w:lineRule="auto"/>
    </w:pPr>
    <w:rPr>
      <w:rFonts w:ascii="Times New Roman" w:eastAsia="Times New Roman" w:hAnsi="Times New Roman" w:cs="Times New Roman"/>
      <w:noProof w:val="0"/>
      <w:sz w:val="24"/>
      <w:szCs w:val="24"/>
      <w:lang w:val="en-US"/>
    </w:rPr>
  </w:style>
  <w:style w:type="character" w:customStyle="1" w:styleId="ListBulletChar">
    <w:name w:val="List Bullet Char"/>
    <w:aliases w:val=" Char Char"/>
    <w:link w:val="ListBullet"/>
    <w:rsid w:val="00E34EEA"/>
    <w:rPr>
      <w:rFonts w:ascii="Times New Roman" w:eastAsia="Times New Roman" w:hAnsi="Times New Roman" w:cs="Times New Roman"/>
      <w:sz w:val="24"/>
      <w:szCs w:val="24"/>
    </w:rPr>
  </w:style>
  <w:style w:type="table" w:styleId="TableGrid">
    <w:name w:val="Table Grid"/>
    <w:basedOn w:val="TableNormal"/>
    <w:uiPriority w:val="59"/>
    <w:rsid w:val="00DF47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4">
    <w:name w:val="Light Shading Accent 4"/>
    <w:basedOn w:val="TableNormal"/>
    <w:uiPriority w:val="60"/>
    <w:rsid w:val="004F6AD8"/>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TableofFigures">
    <w:name w:val="table of figures"/>
    <w:basedOn w:val="Normal"/>
    <w:next w:val="Normal"/>
    <w:uiPriority w:val="99"/>
    <w:unhideWhenUsed/>
    <w:rsid w:val="00D82F4A"/>
    <w:pPr>
      <w:spacing w:after="0"/>
      <w:ind w:left="440" w:hanging="440"/>
    </w:pPr>
    <w:rPr>
      <w:rFonts w:cstheme="minorHAnsi"/>
      <w:b/>
      <w:bCs/>
      <w:sz w:val="20"/>
      <w:szCs w:val="20"/>
    </w:rPr>
  </w:style>
  <w:style w:type="paragraph" w:customStyle="1" w:styleId="ParagraphNumbering">
    <w:name w:val="Paragraph Numbering"/>
    <w:basedOn w:val="Normal"/>
    <w:link w:val="ParagraphNumberingChar"/>
    <w:uiPriority w:val="99"/>
    <w:rsid w:val="00DB3667"/>
    <w:pPr>
      <w:tabs>
        <w:tab w:val="num" w:pos="720"/>
      </w:tabs>
      <w:spacing w:after="240" w:line="300" w:lineRule="exact"/>
      <w:ind w:left="720" w:hanging="720"/>
    </w:pPr>
    <w:rPr>
      <w:rFonts w:ascii="Segoe UI" w:eastAsia="MS Mincho" w:hAnsi="Segoe UI" w:cs="Times New Roman"/>
      <w:noProof w:val="0"/>
      <w:sz w:val="21"/>
      <w:szCs w:val="24"/>
      <w:lang w:val="en-US"/>
    </w:rPr>
  </w:style>
  <w:style w:type="character" w:customStyle="1" w:styleId="ParagraphNumberingChar">
    <w:name w:val="Paragraph Numbering Char"/>
    <w:basedOn w:val="DefaultParagraphFont"/>
    <w:link w:val="ParagraphNumbering"/>
    <w:uiPriority w:val="99"/>
    <w:locked/>
    <w:rsid w:val="00DB3667"/>
    <w:rPr>
      <w:rFonts w:ascii="Segoe UI" w:eastAsia="MS Mincho" w:hAnsi="Segoe UI" w:cs="Times New Roman"/>
      <w:sz w:val="21"/>
      <w:szCs w:val="24"/>
    </w:rPr>
  </w:style>
  <w:style w:type="paragraph" w:customStyle="1" w:styleId="Default">
    <w:name w:val="Default"/>
    <w:link w:val="DefaultChar"/>
    <w:rsid w:val="007418F8"/>
    <w:pPr>
      <w:autoSpaceDE w:val="0"/>
      <w:autoSpaceDN w:val="0"/>
      <w:adjustRightInd w:val="0"/>
      <w:spacing w:after="0" w:line="240" w:lineRule="auto"/>
    </w:pPr>
    <w:rPr>
      <w:rFonts w:ascii="Arial" w:hAnsi="Arial" w:cs="Arial"/>
      <w:color w:val="000000"/>
      <w:sz w:val="24"/>
      <w:szCs w:val="24"/>
    </w:rPr>
  </w:style>
  <w:style w:type="paragraph" w:styleId="Caption">
    <w:name w:val="caption"/>
    <w:basedOn w:val="Normal"/>
    <w:next w:val="Normal"/>
    <w:uiPriority w:val="35"/>
    <w:unhideWhenUsed/>
    <w:qFormat/>
    <w:rsid w:val="00CA31B2"/>
    <w:pPr>
      <w:spacing w:line="240" w:lineRule="auto"/>
    </w:pPr>
    <w:rPr>
      <w:b/>
      <w:bCs/>
      <w:color w:val="4F81BD" w:themeColor="accent1"/>
      <w:sz w:val="18"/>
      <w:szCs w:val="18"/>
    </w:rPr>
  </w:style>
  <w:style w:type="character" w:customStyle="1" w:styleId="DefaultChar">
    <w:name w:val="Default Char"/>
    <w:link w:val="Default"/>
    <w:rsid w:val="009539DA"/>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713">
      <w:bodyDiv w:val="1"/>
      <w:marLeft w:val="0"/>
      <w:marRight w:val="0"/>
      <w:marTop w:val="0"/>
      <w:marBottom w:val="0"/>
      <w:divBdr>
        <w:top w:val="none" w:sz="0" w:space="0" w:color="auto"/>
        <w:left w:val="none" w:sz="0" w:space="0" w:color="auto"/>
        <w:bottom w:val="none" w:sz="0" w:space="0" w:color="auto"/>
        <w:right w:val="none" w:sz="0" w:space="0" w:color="auto"/>
      </w:divBdr>
    </w:div>
    <w:div w:id="12807462">
      <w:bodyDiv w:val="1"/>
      <w:marLeft w:val="0"/>
      <w:marRight w:val="0"/>
      <w:marTop w:val="0"/>
      <w:marBottom w:val="0"/>
      <w:divBdr>
        <w:top w:val="none" w:sz="0" w:space="0" w:color="auto"/>
        <w:left w:val="none" w:sz="0" w:space="0" w:color="auto"/>
        <w:bottom w:val="none" w:sz="0" w:space="0" w:color="auto"/>
        <w:right w:val="none" w:sz="0" w:space="0" w:color="auto"/>
      </w:divBdr>
    </w:div>
    <w:div w:id="84614560">
      <w:bodyDiv w:val="1"/>
      <w:marLeft w:val="0"/>
      <w:marRight w:val="0"/>
      <w:marTop w:val="0"/>
      <w:marBottom w:val="0"/>
      <w:divBdr>
        <w:top w:val="none" w:sz="0" w:space="0" w:color="auto"/>
        <w:left w:val="none" w:sz="0" w:space="0" w:color="auto"/>
        <w:bottom w:val="none" w:sz="0" w:space="0" w:color="auto"/>
        <w:right w:val="none" w:sz="0" w:space="0" w:color="auto"/>
      </w:divBdr>
    </w:div>
    <w:div w:id="86510756">
      <w:bodyDiv w:val="1"/>
      <w:marLeft w:val="0"/>
      <w:marRight w:val="0"/>
      <w:marTop w:val="0"/>
      <w:marBottom w:val="0"/>
      <w:divBdr>
        <w:top w:val="none" w:sz="0" w:space="0" w:color="auto"/>
        <w:left w:val="none" w:sz="0" w:space="0" w:color="auto"/>
        <w:bottom w:val="none" w:sz="0" w:space="0" w:color="auto"/>
        <w:right w:val="none" w:sz="0" w:space="0" w:color="auto"/>
      </w:divBdr>
    </w:div>
    <w:div w:id="117645467">
      <w:bodyDiv w:val="1"/>
      <w:marLeft w:val="0"/>
      <w:marRight w:val="0"/>
      <w:marTop w:val="0"/>
      <w:marBottom w:val="0"/>
      <w:divBdr>
        <w:top w:val="none" w:sz="0" w:space="0" w:color="auto"/>
        <w:left w:val="none" w:sz="0" w:space="0" w:color="auto"/>
        <w:bottom w:val="none" w:sz="0" w:space="0" w:color="auto"/>
        <w:right w:val="none" w:sz="0" w:space="0" w:color="auto"/>
      </w:divBdr>
    </w:div>
    <w:div w:id="125241407">
      <w:bodyDiv w:val="1"/>
      <w:marLeft w:val="0"/>
      <w:marRight w:val="0"/>
      <w:marTop w:val="0"/>
      <w:marBottom w:val="0"/>
      <w:divBdr>
        <w:top w:val="none" w:sz="0" w:space="0" w:color="auto"/>
        <w:left w:val="none" w:sz="0" w:space="0" w:color="auto"/>
        <w:bottom w:val="none" w:sz="0" w:space="0" w:color="auto"/>
        <w:right w:val="none" w:sz="0" w:space="0" w:color="auto"/>
      </w:divBdr>
    </w:div>
    <w:div w:id="134959495">
      <w:bodyDiv w:val="1"/>
      <w:marLeft w:val="0"/>
      <w:marRight w:val="0"/>
      <w:marTop w:val="0"/>
      <w:marBottom w:val="0"/>
      <w:divBdr>
        <w:top w:val="none" w:sz="0" w:space="0" w:color="auto"/>
        <w:left w:val="none" w:sz="0" w:space="0" w:color="auto"/>
        <w:bottom w:val="none" w:sz="0" w:space="0" w:color="auto"/>
        <w:right w:val="none" w:sz="0" w:space="0" w:color="auto"/>
      </w:divBdr>
    </w:div>
    <w:div w:id="152843742">
      <w:bodyDiv w:val="1"/>
      <w:marLeft w:val="0"/>
      <w:marRight w:val="0"/>
      <w:marTop w:val="0"/>
      <w:marBottom w:val="0"/>
      <w:divBdr>
        <w:top w:val="none" w:sz="0" w:space="0" w:color="auto"/>
        <w:left w:val="none" w:sz="0" w:space="0" w:color="auto"/>
        <w:bottom w:val="none" w:sz="0" w:space="0" w:color="auto"/>
        <w:right w:val="none" w:sz="0" w:space="0" w:color="auto"/>
      </w:divBdr>
    </w:div>
    <w:div w:id="169569168">
      <w:bodyDiv w:val="1"/>
      <w:marLeft w:val="0"/>
      <w:marRight w:val="0"/>
      <w:marTop w:val="0"/>
      <w:marBottom w:val="0"/>
      <w:divBdr>
        <w:top w:val="none" w:sz="0" w:space="0" w:color="auto"/>
        <w:left w:val="none" w:sz="0" w:space="0" w:color="auto"/>
        <w:bottom w:val="none" w:sz="0" w:space="0" w:color="auto"/>
        <w:right w:val="none" w:sz="0" w:space="0" w:color="auto"/>
      </w:divBdr>
    </w:div>
    <w:div w:id="169686941">
      <w:bodyDiv w:val="1"/>
      <w:marLeft w:val="0"/>
      <w:marRight w:val="0"/>
      <w:marTop w:val="0"/>
      <w:marBottom w:val="0"/>
      <w:divBdr>
        <w:top w:val="none" w:sz="0" w:space="0" w:color="auto"/>
        <w:left w:val="none" w:sz="0" w:space="0" w:color="auto"/>
        <w:bottom w:val="none" w:sz="0" w:space="0" w:color="auto"/>
        <w:right w:val="none" w:sz="0" w:space="0" w:color="auto"/>
      </w:divBdr>
    </w:div>
    <w:div w:id="177014178">
      <w:bodyDiv w:val="1"/>
      <w:marLeft w:val="0"/>
      <w:marRight w:val="0"/>
      <w:marTop w:val="0"/>
      <w:marBottom w:val="0"/>
      <w:divBdr>
        <w:top w:val="none" w:sz="0" w:space="0" w:color="auto"/>
        <w:left w:val="none" w:sz="0" w:space="0" w:color="auto"/>
        <w:bottom w:val="none" w:sz="0" w:space="0" w:color="auto"/>
        <w:right w:val="none" w:sz="0" w:space="0" w:color="auto"/>
      </w:divBdr>
    </w:div>
    <w:div w:id="197668171">
      <w:bodyDiv w:val="1"/>
      <w:marLeft w:val="0"/>
      <w:marRight w:val="0"/>
      <w:marTop w:val="0"/>
      <w:marBottom w:val="0"/>
      <w:divBdr>
        <w:top w:val="none" w:sz="0" w:space="0" w:color="auto"/>
        <w:left w:val="none" w:sz="0" w:space="0" w:color="auto"/>
        <w:bottom w:val="none" w:sz="0" w:space="0" w:color="auto"/>
        <w:right w:val="none" w:sz="0" w:space="0" w:color="auto"/>
      </w:divBdr>
    </w:div>
    <w:div w:id="250282113">
      <w:bodyDiv w:val="1"/>
      <w:marLeft w:val="0"/>
      <w:marRight w:val="0"/>
      <w:marTop w:val="0"/>
      <w:marBottom w:val="0"/>
      <w:divBdr>
        <w:top w:val="none" w:sz="0" w:space="0" w:color="auto"/>
        <w:left w:val="none" w:sz="0" w:space="0" w:color="auto"/>
        <w:bottom w:val="none" w:sz="0" w:space="0" w:color="auto"/>
        <w:right w:val="none" w:sz="0" w:space="0" w:color="auto"/>
      </w:divBdr>
    </w:div>
    <w:div w:id="273443776">
      <w:bodyDiv w:val="1"/>
      <w:marLeft w:val="0"/>
      <w:marRight w:val="0"/>
      <w:marTop w:val="0"/>
      <w:marBottom w:val="0"/>
      <w:divBdr>
        <w:top w:val="none" w:sz="0" w:space="0" w:color="auto"/>
        <w:left w:val="none" w:sz="0" w:space="0" w:color="auto"/>
        <w:bottom w:val="none" w:sz="0" w:space="0" w:color="auto"/>
        <w:right w:val="none" w:sz="0" w:space="0" w:color="auto"/>
      </w:divBdr>
    </w:div>
    <w:div w:id="336035583">
      <w:bodyDiv w:val="1"/>
      <w:marLeft w:val="0"/>
      <w:marRight w:val="0"/>
      <w:marTop w:val="0"/>
      <w:marBottom w:val="0"/>
      <w:divBdr>
        <w:top w:val="none" w:sz="0" w:space="0" w:color="auto"/>
        <w:left w:val="none" w:sz="0" w:space="0" w:color="auto"/>
        <w:bottom w:val="none" w:sz="0" w:space="0" w:color="auto"/>
        <w:right w:val="none" w:sz="0" w:space="0" w:color="auto"/>
      </w:divBdr>
    </w:div>
    <w:div w:id="360789286">
      <w:bodyDiv w:val="1"/>
      <w:marLeft w:val="0"/>
      <w:marRight w:val="0"/>
      <w:marTop w:val="0"/>
      <w:marBottom w:val="0"/>
      <w:divBdr>
        <w:top w:val="none" w:sz="0" w:space="0" w:color="auto"/>
        <w:left w:val="none" w:sz="0" w:space="0" w:color="auto"/>
        <w:bottom w:val="none" w:sz="0" w:space="0" w:color="auto"/>
        <w:right w:val="none" w:sz="0" w:space="0" w:color="auto"/>
      </w:divBdr>
    </w:div>
    <w:div w:id="381097976">
      <w:bodyDiv w:val="1"/>
      <w:marLeft w:val="0"/>
      <w:marRight w:val="0"/>
      <w:marTop w:val="0"/>
      <w:marBottom w:val="0"/>
      <w:divBdr>
        <w:top w:val="none" w:sz="0" w:space="0" w:color="auto"/>
        <w:left w:val="none" w:sz="0" w:space="0" w:color="auto"/>
        <w:bottom w:val="none" w:sz="0" w:space="0" w:color="auto"/>
        <w:right w:val="none" w:sz="0" w:space="0" w:color="auto"/>
      </w:divBdr>
    </w:div>
    <w:div w:id="386610362">
      <w:bodyDiv w:val="1"/>
      <w:marLeft w:val="0"/>
      <w:marRight w:val="0"/>
      <w:marTop w:val="0"/>
      <w:marBottom w:val="0"/>
      <w:divBdr>
        <w:top w:val="none" w:sz="0" w:space="0" w:color="auto"/>
        <w:left w:val="none" w:sz="0" w:space="0" w:color="auto"/>
        <w:bottom w:val="none" w:sz="0" w:space="0" w:color="auto"/>
        <w:right w:val="none" w:sz="0" w:space="0" w:color="auto"/>
      </w:divBdr>
    </w:div>
    <w:div w:id="429548439">
      <w:bodyDiv w:val="1"/>
      <w:marLeft w:val="0"/>
      <w:marRight w:val="0"/>
      <w:marTop w:val="0"/>
      <w:marBottom w:val="0"/>
      <w:divBdr>
        <w:top w:val="none" w:sz="0" w:space="0" w:color="auto"/>
        <w:left w:val="none" w:sz="0" w:space="0" w:color="auto"/>
        <w:bottom w:val="none" w:sz="0" w:space="0" w:color="auto"/>
        <w:right w:val="none" w:sz="0" w:space="0" w:color="auto"/>
      </w:divBdr>
    </w:div>
    <w:div w:id="460996499">
      <w:bodyDiv w:val="1"/>
      <w:marLeft w:val="0"/>
      <w:marRight w:val="0"/>
      <w:marTop w:val="0"/>
      <w:marBottom w:val="0"/>
      <w:divBdr>
        <w:top w:val="none" w:sz="0" w:space="0" w:color="auto"/>
        <w:left w:val="none" w:sz="0" w:space="0" w:color="auto"/>
        <w:bottom w:val="none" w:sz="0" w:space="0" w:color="auto"/>
        <w:right w:val="none" w:sz="0" w:space="0" w:color="auto"/>
      </w:divBdr>
    </w:div>
    <w:div w:id="471751225">
      <w:bodyDiv w:val="1"/>
      <w:marLeft w:val="0"/>
      <w:marRight w:val="0"/>
      <w:marTop w:val="0"/>
      <w:marBottom w:val="0"/>
      <w:divBdr>
        <w:top w:val="none" w:sz="0" w:space="0" w:color="auto"/>
        <w:left w:val="none" w:sz="0" w:space="0" w:color="auto"/>
        <w:bottom w:val="none" w:sz="0" w:space="0" w:color="auto"/>
        <w:right w:val="none" w:sz="0" w:space="0" w:color="auto"/>
      </w:divBdr>
    </w:div>
    <w:div w:id="484320452">
      <w:bodyDiv w:val="1"/>
      <w:marLeft w:val="0"/>
      <w:marRight w:val="0"/>
      <w:marTop w:val="0"/>
      <w:marBottom w:val="0"/>
      <w:divBdr>
        <w:top w:val="none" w:sz="0" w:space="0" w:color="auto"/>
        <w:left w:val="none" w:sz="0" w:space="0" w:color="auto"/>
        <w:bottom w:val="none" w:sz="0" w:space="0" w:color="auto"/>
        <w:right w:val="none" w:sz="0" w:space="0" w:color="auto"/>
      </w:divBdr>
    </w:div>
    <w:div w:id="509948114">
      <w:bodyDiv w:val="1"/>
      <w:marLeft w:val="0"/>
      <w:marRight w:val="0"/>
      <w:marTop w:val="0"/>
      <w:marBottom w:val="0"/>
      <w:divBdr>
        <w:top w:val="none" w:sz="0" w:space="0" w:color="auto"/>
        <w:left w:val="none" w:sz="0" w:space="0" w:color="auto"/>
        <w:bottom w:val="none" w:sz="0" w:space="0" w:color="auto"/>
        <w:right w:val="none" w:sz="0" w:space="0" w:color="auto"/>
      </w:divBdr>
    </w:div>
    <w:div w:id="513301159">
      <w:bodyDiv w:val="1"/>
      <w:marLeft w:val="0"/>
      <w:marRight w:val="0"/>
      <w:marTop w:val="0"/>
      <w:marBottom w:val="0"/>
      <w:divBdr>
        <w:top w:val="none" w:sz="0" w:space="0" w:color="auto"/>
        <w:left w:val="none" w:sz="0" w:space="0" w:color="auto"/>
        <w:bottom w:val="none" w:sz="0" w:space="0" w:color="auto"/>
        <w:right w:val="none" w:sz="0" w:space="0" w:color="auto"/>
      </w:divBdr>
    </w:div>
    <w:div w:id="532109329">
      <w:bodyDiv w:val="1"/>
      <w:marLeft w:val="0"/>
      <w:marRight w:val="0"/>
      <w:marTop w:val="0"/>
      <w:marBottom w:val="0"/>
      <w:divBdr>
        <w:top w:val="none" w:sz="0" w:space="0" w:color="auto"/>
        <w:left w:val="none" w:sz="0" w:space="0" w:color="auto"/>
        <w:bottom w:val="none" w:sz="0" w:space="0" w:color="auto"/>
        <w:right w:val="none" w:sz="0" w:space="0" w:color="auto"/>
      </w:divBdr>
    </w:div>
    <w:div w:id="536546278">
      <w:bodyDiv w:val="1"/>
      <w:marLeft w:val="0"/>
      <w:marRight w:val="0"/>
      <w:marTop w:val="0"/>
      <w:marBottom w:val="0"/>
      <w:divBdr>
        <w:top w:val="none" w:sz="0" w:space="0" w:color="auto"/>
        <w:left w:val="none" w:sz="0" w:space="0" w:color="auto"/>
        <w:bottom w:val="none" w:sz="0" w:space="0" w:color="auto"/>
        <w:right w:val="none" w:sz="0" w:space="0" w:color="auto"/>
      </w:divBdr>
    </w:div>
    <w:div w:id="560289421">
      <w:bodyDiv w:val="1"/>
      <w:marLeft w:val="0"/>
      <w:marRight w:val="0"/>
      <w:marTop w:val="0"/>
      <w:marBottom w:val="0"/>
      <w:divBdr>
        <w:top w:val="none" w:sz="0" w:space="0" w:color="auto"/>
        <w:left w:val="none" w:sz="0" w:space="0" w:color="auto"/>
        <w:bottom w:val="none" w:sz="0" w:space="0" w:color="auto"/>
        <w:right w:val="none" w:sz="0" w:space="0" w:color="auto"/>
      </w:divBdr>
    </w:div>
    <w:div w:id="560409696">
      <w:bodyDiv w:val="1"/>
      <w:marLeft w:val="0"/>
      <w:marRight w:val="0"/>
      <w:marTop w:val="0"/>
      <w:marBottom w:val="0"/>
      <w:divBdr>
        <w:top w:val="none" w:sz="0" w:space="0" w:color="auto"/>
        <w:left w:val="none" w:sz="0" w:space="0" w:color="auto"/>
        <w:bottom w:val="none" w:sz="0" w:space="0" w:color="auto"/>
        <w:right w:val="none" w:sz="0" w:space="0" w:color="auto"/>
      </w:divBdr>
    </w:div>
    <w:div w:id="576938411">
      <w:bodyDiv w:val="1"/>
      <w:marLeft w:val="0"/>
      <w:marRight w:val="0"/>
      <w:marTop w:val="0"/>
      <w:marBottom w:val="0"/>
      <w:divBdr>
        <w:top w:val="none" w:sz="0" w:space="0" w:color="auto"/>
        <w:left w:val="none" w:sz="0" w:space="0" w:color="auto"/>
        <w:bottom w:val="none" w:sz="0" w:space="0" w:color="auto"/>
        <w:right w:val="none" w:sz="0" w:space="0" w:color="auto"/>
      </w:divBdr>
    </w:div>
    <w:div w:id="597756228">
      <w:bodyDiv w:val="1"/>
      <w:marLeft w:val="0"/>
      <w:marRight w:val="0"/>
      <w:marTop w:val="0"/>
      <w:marBottom w:val="0"/>
      <w:divBdr>
        <w:top w:val="none" w:sz="0" w:space="0" w:color="auto"/>
        <w:left w:val="none" w:sz="0" w:space="0" w:color="auto"/>
        <w:bottom w:val="none" w:sz="0" w:space="0" w:color="auto"/>
        <w:right w:val="none" w:sz="0" w:space="0" w:color="auto"/>
      </w:divBdr>
    </w:div>
    <w:div w:id="612519912">
      <w:bodyDiv w:val="1"/>
      <w:marLeft w:val="0"/>
      <w:marRight w:val="0"/>
      <w:marTop w:val="0"/>
      <w:marBottom w:val="0"/>
      <w:divBdr>
        <w:top w:val="none" w:sz="0" w:space="0" w:color="auto"/>
        <w:left w:val="none" w:sz="0" w:space="0" w:color="auto"/>
        <w:bottom w:val="none" w:sz="0" w:space="0" w:color="auto"/>
        <w:right w:val="none" w:sz="0" w:space="0" w:color="auto"/>
      </w:divBdr>
    </w:div>
    <w:div w:id="630356357">
      <w:bodyDiv w:val="1"/>
      <w:marLeft w:val="0"/>
      <w:marRight w:val="0"/>
      <w:marTop w:val="0"/>
      <w:marBottom w:val="0"/>
      <w:divBdr>
        <w:top w:val="none" w:sz="0" w:space="0" w:color="auto"/>
        <w:left w:val="none" w:sz="0" w:space="0" w:color="auto"/>
        <w:bottom w:val="none" w:sz="0" w:space="0" w:color="auto"/>
        <w:right w:val="none" w:sz="0" w:space="0" w:color="auto"/>
      </w:divBdr>
    </w:div>
    <w:div w:id="655841002">
      <w:bodyDiv w:val="1"/>
      <w:marLeft w:val="0"/>
      <w:marRight w:val="0"/>
      <w:marTop w:val="0"/>
      <w:marBottom w:val="0"/>
      <w:divBdr>
        <w:top w:val="none" w:sz="0" w:space="0" w:color="auto"/>
        <w:left w:val="none" w:sz="0" w:space="0" w:color="auto"/>
        <w:bottom w:val="none" w:sz="0" w:space="0" w:color="auto"/>
        <w:right w:val="none" w:sz="0" w:space="0" w:color="auto"/>
      </w:divBdr>
    </w:div>
    <w:div w:id="663241329">
      <w:bodyDiv w:val="1"/>
      <w:marLeft w:val="0"/>
      <w:marRight w:val="0"/>
      <w:marTop w:val="0"/>
      <w:marBottom w:val="0"/>
      <w:divBdr>
        <w:top w:val="none" w:sz="0" w:space="0" w:color="auto"/>
        <w:left w:val="none" w:sz="0" w:space="0" w:color="auto"/>
        <w:bottom w:val="none" w:sz="0" w:space="0" w:color="auto"/>
        <w:right w:val="none" w:sz="0" w:space="0" w:color="auto"/>
      </w:divBdr>
    </w:div>
    <w:div w:id="706757440">
      <w:bodyDiv w:val="1"/>
      <w:marLeft w:val="0"/>
      <w:marRight w:val="0"/>
      <w:marTop w:val="0"/>
      <w:marBottom w:val="0"/>
      <w:divBdr>
        <w:top w:val="none" w:sz="0" w:space="0" w:color="auto"/>
        <w:left w:val="none" w:sz="0" w:space="0" w:color="auto"/>
        <w:bottom w:val="none" w:sz="0" w:space="0" w:color="auto"/>
        <w:right w:val="none" w:sz="0" w:space="0" w:color="auto"/>
      </w:divBdr>
    </w:div>
    <w:div w:id="807891581">
      <w:bodyDiv w:val="1"/>
      <w:marLeft w:val="0"/>
      <w:marRight w:val="0"/>
      <w:marTop w:val="0"/>
      <w:marBottom w:val="0"/>
      <w:divBdr>
        <w:top w:val="none" w:sz="0" w:space="0" w:color="auto"/>
        <w:left w:val="none" w:sz="0" w:space="0" w:color="auto"/>
        <w:bottom w:val="none" w:sz="0" w:space="0" w:color="auto"/>
        <w:right w:val="none" w:sz="0" w:space="0" w:color="auto"/>
      </w:divBdr>
    </w:div>
    <w:div w:id="857694624">
      <w:bodyDiv w:val="1"/>
      <w:marLeft w:val="0"/>
      <w:marRight w:val="0"/>
      <w:marTop w:val="0"/>
      <w:marBottom w:val="0"/>
      <w:divBdr>
        <w:top w:val="none" w:sz="0" w:space="0" w:color="auto"/>
        <w:left w:val="none" w:sz="0" w:space="0" w:color="auto"/>
        <w:bottom w:val="none" w:sz="0" w:space="0" w:color="auto"/>
        <w:right w:val="none" w:sz="0" w:space="0" w:color="auto"/>
      </w:divBdr>
    </w:div>
    <w:div w:id="872883170">
      <w:bodyDiv w:val="1"/>
      <w:marLeft w:val="0"/>
      <w:marRight w:val="0"/>
      <w:marTop w:val="0"/>
      <w:marBottom w:val="0"/>
      <w:divBdr>
        <w:top w:val="none" w:sz="0" w:space="0" w:color="auto"/>
        <w:left w:val="none" w:sz="0" w:space="0" w:color="auto"/>
        <w:bottom w:val="none" w:sz="0" w:space="0" w:color="auto"/>
        <w:right w:val="none" w:sz="0" w:space="0" w:color="auto"/>
      </w:divBdr>
    </w:div>
    <w:div w:id="879053231">
      <w:bodyDiv w:val="1"/>
      <w:marLeft w:val="0"/>
      <w:marRight w:val="0"/>
      <w:marTop w:val="0"/>
      <w:marBottom w:val="0"/>
      <w:divBdr>
        <w:top w:val="none" w:sz="0" w:space="0" w:color="auto"/>
        <w:left w:val="none" w:sz="0" w:space="0" w:color="auto"/>
        <w:bottom w:val="none" w:sz="0" w:space="0" w:color="auto"/>
        <w:right w:val="none" w:sz="0" w:space="0" w:color="auto"/>
      </w:divBdr>
    </w:div>
    <w:div w:id="900989705">
      <w:bodyDiv w:val="1"/>
      <w:marLeft w:val="0"/>
      <w:marRight w:val="0"/>
      <w:marTop w:val="0"/>
      <w:marBottom w:val="0"/>
      <w:divBdr>
        <w:top w:val="none" w:sz="0" w:space="0" w:color="auto"/>
        <w:left w:val="none" w:sz="0" w:space="0" w:color="auto"/>
        <w:bottom w:val="none" w:sz="0" w:space="0" w:color="auto"/>
        <w:right w:val="none" w:sz="0" w:space="0" w:color="auto"/>
      </w:divBdr>
    </w:div>
    <w:div w:id="958998741">
      <w:bodyDiv w:val="1"/>
      <w:marLeft w:val="0"/>
      <w:marRight w:val="0"/>
      <w:marTop w:val="0"/>
      <w:marBottom w:val="0"/>
      <w:divBdr>
        <w:top w:val="none" w:sz="0" w:space="0" w:color="auto"/>
        <w:left w:val="none" w:sz="0" w:space="0" w:color="auto"/>
        <w:bottom w:val="none" w:sz="0" w:space="0" w:color="auto"/>
        <w:right w:val="none" w:sz="0" w:space="0" w:color="auto"/>
      </w:divBdr>
    </w:div>
    <w:div w:id="975532053">
      <w:bodyDiv w:val="1"/>
      <w:marLeft w:val="0"/>
      <w:marRight w:val="0"/>
      <w:marTop w:val="0"/>
      <w:marBottom w:val="0"/>
      <w:divBdr>
        <w:top w:val="none" w:sz="0" w:space="0" w:color="auto"/>
        <w:left w:val="none" w:sz="0" w:space="0" w:color="auto"/>
        <w:bottom w:val="none" w:sz="0" w:space="0" w:color="auto"/>
        <w:right w:val="none" w:sz="0" w:space="0" w:color="auto"/>
      </w:divBdr>
    </w:div>
    <w:div w:id="995190023">
      <w:bodyDiv w:val="1"/>
      <w:marLeft w:val="0"/>
      <w:marRight w:val="0"/>
      <w:marTop w:val="0"/>
      <w:marBottom w:val="0"/>
      <w:divBdr>
        <w:top w:val="none" w:sz="0" w:space="0" w:color="auto"/>
        <w:left w:val="none" w:sz="0" w:space="0" w:color="auto"/>
        <w:bottom w:val="none" w:sz="0" w:space="0" w:color="auto"/>
        <w:right w:val="none" w:sz="0" w:space="0" w:color="auto"/>
      </w:divBdr>
    </w:div>
    <w:div w:id="1004282519">
      <w:bodyDiv w:val="1"/>
      <w:marLeft w:val="0"/>
      <w:marRight w:val="0"/>
      <w:marTop w:val="0"/>
      <w:marBottom w:val="0"/>
      <w:divBdr>
        <w:top w:val="none" w:sz="0" w:space="0" w:color="auto"/>
        <w:left w:val="none" w:sz="0" w:space="0" w:color="auto"/>
        <w:bottom w:val="none" w:sz="0" w:space="0" w:color="auto"/>
        <w:right w:val="none" w:sz="0" w:space="0" w:color="auto"/>
      </w:divBdr>
    </w:div>
    <w:div w:id="1059287564">
      <w:bodyDiv w:val="1"/>
      <w:marLeft w:val="0"/>
      <w:marRight w:val="0"/>
      <w:marTop w:val="0"/>
      <w:marBottom w:val="0"/>
      <w:divBdr>
        <w:top w:val="none" w:sz="0" w:space="0" w:color="auto"/>
        <w:left w:val="none" w:sz="0" w:space="0" w:color="auto"/>
        <w:bottom w:val="none" w:sz="0" w:space="0" w:color="auto"/>
        <w:right w:val="none" w:sz="0" w:space="0" w:color="auto"/>
      </w:divBdr>
    </w:div>
    <w:div w:id="1064181319">
      <w:bodyDiv w:val="1"/>
      <w:marLeft w:val="0"/>
      <w:marRight w:val="0"/>
      <w:marTop w:val="0"/>
      <w:marBottom w:val="0"/>
      <w:divBdr>
        <w:top w:val="none" w:sz="0" w:space="0" w:color="auto"/>
        <w:left w:val="none" w:sz="0" w:space="0" w:color="auto"/>
        <w:bottom w:val="none" w:sz="0" w:space="0" w:color="auto"/>
        <w:right w:val="none" w:sz="0" w:space="0" w:color="auto"/>
      </w:divBdr>
    </w:div>
    <w:div w:id="1066612816">
      <w:bodyDiv w:val="1"/>
      <w:marLeft w:val="0"/>
      <w:marRight w:val="0"/>
      <w:marTop w:val="0"/>
      <w:marBottom w:val="0"/>
      <w:divBdr>
        <w:top w:val="none" w:sz="0" w:space="0" w:color="auto"/>
        <w:left w:val="none" w:sz="0" w:space="0" w:color="auto"/>
        <w:bottom w:val="none" w:sz="0" w:space="0" w:color="auto"/>
        <w:right w:val="none" w:sz="0" w:space="0" w:color="auto"/>
      </w:divBdr>
    </w:div>
    <w:div w:id="1070083809">
      <w:bodyDiv w:val="1"/>
      <w:marLeft w:val="0"/>
      <w:marRight w:val="0"/>
      <w:marTop w:val="0"/>
      <w:marBottom w:val="0"/>
      <w:divBdr>
        <w:top w:val="none" w:sz="0" w:space="0" w:color="auto"/>
        <w:left w:val="none" w:sz="0" w:space="0" w:color="auto"/>
        <w:bottom w:val="none" w:sz="0" w:space="0" w:color="auto"/>
        <w:right w:val="none" w:sz="0" w:space="0" w:color="auto"/>
      </w:divBdr>
    </w:div>
    <w:div w:id="1075054051">
      <w:bodyDiv w:val="1"/>
      <w:marLeft w:val="0"/>
      <w:marRight w:val="0"/>
      <w:marTop w:val="0"/>
      <w:marBottom w:val="0"/>
      <w:divBdr>
        <w:top w:val="none" w:sz="0" w:space="0" w:color="auto"/>
        <w:left w:val="none" w:sz="0" w:space="0" w:color="auto"/>
        <w:bottom w:val="none" w:sz="0" w:space="0" w:color="auto"/>
        <w:right w:val="none" w:sz="0" w:space="0" w:color="auto"/>
      </w:divBdr>
    </w:div>
    <w:div w:id="1090925237">
      <w:bodyDiv w:val="1"/>
      <w:marLeft w:val="0"/>
      <w:marRight w:val="0"/>
      <w:marTop w:val="0"/>
      <w:marBottom w:val="0"/>
      <w:divBdr>
        <w:top w:val="none" w:sz="0" w:space="0" w:color="auto"/>
        <w:left w:val="none" w:sz="0" w:space="0" w:color="auto"/>
        <w:bottom w:val="none" w:sz="0" w:space="0" w:color="auto"/>
        <w:right w:val="none" w:sz="0" w:space="0" w:color="auto"/>
      </w:divBdr>
    </w:div>
    <w:div w:id="1112751131">
      <w:bodyDiv w:val="1"/>
      <w:marLeft w:val="0"/>
      <w:marRight w:val="0"/>
      <w:marTop w:val="0"/>
      <w:marBottom w:val="0"/>
      <w:divBdr>
        <w:top w:val="none" w:sz="0" w:space="0" w:color="auto"/>
        <w:left w:val="none" w:sz="0" w:space="0" w:color="auto"/>
        <w:bottom w:val="none" w:sz="0" w:space="0" w:color="auto"/>
        <w:right w:val="none" w:sz="0" w:space="0" w:color="auto"/>
      </w:divBdr>
    </w:div>
    <w:div w:id="1118522117">
      <w:bodyDiv w:val="1"/>
      <w:marLeft w:val="0"/>
      <w:marRight w:val="0"/>
      <w:marTop w:val="0"/>
      <w:marBottom w:val="0"/>
      <w:divBdr>
        <w:top w:val="none" w:sz="0" w:space="0" w:color="auto"/>
        <w:left w:val="none" w:sz="0" w:space="0" w:color="auto"/>
        <w:bottom w:val="none" w:sz="0" w:space="0" w:color="auto"/>
        <w:right w:val="none" w:sz="0" w:space="0" w:color="auto"/>
      </w:divBdr>
    </w:div>
    <w:div w:id="1155031714">
      <w:bodyDiv w:val="1"/>
      <w:marLeft w:val="0"/>
      <w:marRight w:val="0"/>
      <w:marTop w:val="0"/>
      <w:marBottom w:val="0"/>
      <w:divBdr>
        <w:top w:val="none" w:sz="0" w:space="0" w:color="auto"/>
        <w:left w:val="none" w:sz="0" w:space="0" w:color="auto"/>
        <w:bottom w:val="none" w:sz="0" w:space="0" w:color="auto"/>
        <w:right w:val="none" w:sz="0" w:space="0" w:color="auto"/>
      </w:divBdr>
    </w:div>
    <w:div w:id="1163622990">
      <w:bodyDiv w:val="1"/>
      <w:marLeft w:val="0"/>
      <w:marRight w:val="0"/>
      <w:marTop w:val="0"/>
      <w:marBottom w:val="0"/>
      <w:divBdr>
        <w:top w:val="none" w:sz="0" w:space="0" w:color="auto"/>
        <w:left w:val="none" w:sz="0" w:space="0" w:color="auto"/>
        <w:bottom w:val="none" w:sz="0" w:space="0" w:color="auto"/>
        <w:right w:val="none" w:sz="0" w:space="0" w:color="auto"/>
      </w:divBdr>
    </w:div>
    <w:div w:id="1175608822">
      <w:bodyDiv w:val="1"/>
      <w:marLeft w:val="0"/>
      <w:marRight w:val="0"/>
      <w:marTop w:val="0"/>
      <w:marBottom w:val="0"/>
      <w:divBdr>
        <w:top w:val="none" w:sz="0" w:space="0" w:color="auto"/>
        <w:left w:val="none" w:sz="0" w:space="0" w:color="auto"/>
        <w:bottom w:val="none" w:sz="0" w:space="0" w:color="auto"/>
        <w:right w:val="none" w:sz="0" w:space="0" w:color="auto"/>
      </w:divBdr>
    </w:div>
    <w:div w:id="1181627287">
      <w:bodyDiv w:val="1"/>
      <w:marLeft w:val="0"/>
      <w:marRight w:val="0"/>
      <w:marTop w:val="0"/>
      <w:marBottom w:val="0"/>
      <w:divBdr>
        <w:top w:val="none" w:sz="0" w:space="0" w:color="auto"/>
        <w:left w:val="none" w:sz="0" w:space="0" w:color="auto"/>
        <w:bottom w:val="none" w:sz="0" w:space="0" w:color="auto"/>
        <w:right w:val="none" w:sz="0" w:space="0" w:color="auto"/>
      </w:divBdr>
    </w:div>
    <w:div w:id="1188520030">
      <w:bodyDiv w:val="1"/>
      <w:marLeft w:val="0"/>
      <w:marRight w:val="0"/>
      <w:marTop w:val="0"/>
      <w:marBottom w:val="0"/>
      <w:divBdr>
        <w:top w:val="none" w:sz="0" w:space="0" w:color="auto"/>
        <w:left w:val="none" w:sz="0" w:space="0" w:color="auto"/>
        <w:bottom w:val="none" w:sz="0" w:space="0" w:color="auto"/>
        <w:right w:val="none" w:sz="0" w:space="0" w:color="auto"/>
      </w:divBdr>
    </w:div>
    <w:div w:id="1217814395">
      <w:bodyDiv w:val="1"/>
      <w:marLeft w:val="0"/>
      <w:marRight w:val="0"/>
      <w:marTop w:val="0"/>
      <w:marBottom w:val="0"/>
      <w:divBdr>
        <w:top w:val="none" w:sz="0" w:space="0" w:color="auto"/>
        <w:left w:val="none" w:sz="0" w:space="0" w:color="auto"/>
        <w:bottom w:val="none" w:sz="0" w:space="0" w:color="auto"/>
        <w:right w:val="none" w:sz="0" w:space="0" w:color="auto"/>
      </w:divBdr>
    </w:div>
    <w:div w:id="1274020486">
      <w:bodyDiv w:val="1"/>
      <w:marLeft w:val="0"/>
      <w:marRight w:val="0"/>
      <w:marTop w:val="0"/>
      <w:marBottom w:val="0"/>
      <w:divBdr>
        <w:top w:val="none" w:sz="0" w:space="0" w:color="auto"/>
        <w:left w:val="none" w:sz="0" w:space="0" w:color="auto"/>
        <w:bottom w:val="none" w:sz="0" w:space="0" w:color="auto"/>
        <w:right w:val="none" w:sz="0" w:space="0" w:color="auto"/>
      </w:divBdr>
    </w:div>
    <w:div w:id="1275820727">
      <w:bodyDiv w:val="1"/>
      <w:marLeft w:val="0"/>
      <w:marRight w:val="0"/>
      <w:marTop w:val="0"/>
      <w:marBottom w:val="0"/>
      <w:divBdr>
        <w:top w:val="none" w:sz="0" w:space="0" w:color="auto"/>
        <w:left w:val="none" w:sz="0" w:space="0" w:color="auto"/>
        <w:bottom w:val="none" w:sz="0" w:space="0" w:color="auto"/>
        <w:right w:val="none" w:sz="0" w:space="0" w:color="auto"/>
      </w:divBdr>
    </w:div>
    <w:div w:id="1334260964">
      <w:bodyDiv w:val="1"/>
      <w:marLeft w:val="0"/>
      <w:marRight w:val="0"/>
      <w:marTop w:val="0"/>
      <w:marBottom w:val="0"/>
      <w:divBdr>
        <w:top w:val="none" w:sz="0" w:space="0" w:color="auto"/>
        <w:left w:val="none" w:sz="0" w:space="0" w:color="auto"/>
        <w:bottom w:val="none" w:sz="0" w:space="0" w:color="auto"/>
        <w:right w:val="none" w:sz="0" w:space="0" w:color="auto"/>
      </w:divBdr>
    </w:div>
    <w:div w:id="1367365738">
      <w:bodyDiv w:val="1"/>
      <w:marLeft w:val="0"/>
      <w:marRight w:val="0"/>
      <w:marTop w:val="0"/>
      <w:marBottom w:val="0"/>
      <w:divBdr>
        <w:top w:val="none" w:sz="0" w:space="0" w:color="auto"/>
        <w:left w:val="none" w:sz="0" w:space="0" w:color="auto"/>
        <w:bottom w:val="none" w:sz="0" w:space="0" w:color="auto"/>
        <w:right w:val="none" w:sz="0" w:space="0" w:color="auto"/>
      </w:divBdr>
    </w:div>
    <w:div w:id="1380012593">
      <w:bodyDiv w:val="1"/>
      <w:marLeft w:val="0"/>
      <w:marRight w:val="0"/>
      <w:marTop w:val="0"/>
      <w:marBottom w:val="0"/>
      <w:divBdr>
        <w:top w:val="none" w:sz="0" w:space="0" w:color="auto"/>
        <w:left w:val="none" w:sz="0" w:space="0" w:color="auto"/>
        <w:bottom w:val="none" w:sz="0" w:space="0" w:color="auto"/>
        <w:right w:val="none" w:sz="0" w:space="0" w:color="auto"/>
      </w:divBdr>
    </w:div>
    <w:div w:id="1405106565">
      <w:bodyDiv w:val="1"/>
      <w:marLeft w:val="0"/>
      <w:marRight w:val="0"/>
      <w:marTop w:val="0"/>
      <w:marBottom w:val="0"/>
      <w:divBdr>
        <w:top w:val="none" w:sz="0" w:space="0" w:color="auto"/>
        <w:left w:val="none" w:sz="0" w:space="0" w:color="auto"/>
        <w:bottom w:val="none" w:sz="0" w:space="0" w:color="auto"/>
        <w:right w:val="none" w:sz="0" w:space="0" w:color="auto"/>
      </w:divBdr>
    </w:div>
    <w:div w:id="1436288895">
      <w:bodyDiv w:val="1"/>
      <w:marLeft w:val="0"/>
      <w:marRight w:val="0"/>
      <w:marTop w:val="0"/>
      <w:marBottom w:val="0"/>
      <w:divBdr>
        <w:top w:val="none" w:sz="0" w:space="0" w:color="auto"/>
        <w:left w:val="none" w:sz="0" w:space="0" w:color="auto"/>
        <w:bottom w:val="none" w:sz="0" w:space="0" w:color="auto"/>
        <w:right w:val="none" w:sz="0" w:space="0" w:color="auto"/>
      </w:divBdr>
      <w:divsChild>
        <w:div w:id="852574478">
          <w:marLeft w:val="0"/>
          <w:marRight w:val="0"/>
          <w:marTop w:val="0"/>
          <w:marBottom w:val="0"/>
          <w:divBdr>
            <w:top w:val="none" w:sz="0" w:space="0" w:color="auto"/>
            <w:left w:val="none" w:sz="0" w:space="0" w:color="auto"/>
            <w:bottom w:val="none" w:sz="0" w:space="0" w:color="auto"/>
            <w:right w:val="none" w:sz="0" w:space="0" w:color="auto"/>
          </w:divBdr>
          <w:divsChild>
            <w:div w:id="1737630730">
              <w:marLeft w:val="0"/>
              <w:marRight w:val="0"/>
              <w:marTop w:val="100"/>
              <w:marBottom w:val="100"/>
              <w:divBdr>
                <w:top w:val="none" w:sz="0" w:space="0" w:color="auto"/>
                <w:left w:val="none" w:sz="0" w:space="0" w:color="auto"/>
                <w:bottom w:val="none" w:sz="0" w:space="0" w:color="auto"/>
                <w:right w:val="none" w:sz="0" w:space="0" w:color="auto"/>
              </w:divBdr>
              <w:divsChild>
                <w:div w:id="1652829593">
                  <w:marLeft w:val="0"/>
                  <w:marRight w:val="0"/>
                  <w:marTop w:val="0"/>
                  <w:marBottom w:val="0"/>
                  <w:divBdr>
                    <w:top w:val="none" w:sz="0" w:space="0" w:color="auto"/>
                    <w:left w:val="none" w:sz="0" w:space="0" w:color="auto"/>
                    <w:bottom w:val="none" w:sz="0" w:space="0" w:color="auto"/>
                    <w:right w:val="none" w:sz="0" w:space="0" w:color="auto"/>
                  </w:divBdr>
                  <w:divsChild>
                    <w:div w:id="849177250">
                      <w:marLeft w:val="0"/>
                      <w:marRight w:val="-6000"/>
                      <w:marTop w:val="0"/>
                      <w:marBottom w:val="0"/>
                      <w:divBdr>
                        <w:top w:val="none" w:sz="0" w:space="0" w:color="auto"/>
                        <w:left w:val="none" w:sz="0" w:space="0" w:color="auto"/>
                        <w:bottom w:val="none" w:sz="0" w:space="0" w:color="auto"/>
                        <w:right w:val="none" w:sz="0" w:space="0" w:color="auto"/>
                      </w:divBdr>
                      <w:divsChild>
                        <w:div w:id="669529914">
                          <w:marLeft w:val="0"/>
                          <w:marRight w:val="5778"/>
                          <w:marTop w:val="0"/>
                          <w:marBottom w:val="0"/>
                          <w:divBdr>
                            <w:top w:val="none" w:sz="0" w:space="0" w:color="auto"/>
                            <w:left w:val="none" w:sz="0" w:space="0" w:color="auto"/>
                            <w:bottom w:val="none" w:sz="0" w:space="0" w:color="auto"/>
                            <w:right w:val="none" w:sz="0" w:space="0" w:color="auto"/>
                          </w:divBdr>
                          <w:divsChild>
                            <w:div w:id="1316103598">
                              <w:marLeft w:val="0"/>
                              <w:marRight w:val="0"/>
                              <w:marTop w:val="0"/>
                              <w:marBottom w:val="0"/>
                              <w:divBdr>
                                <w:top w:val="none" w:sz="0" w:space="0" w:color="auto"/>
                                <w:left w:val="none" w:sz="0" w:space="0" w:color="auto"/>
                                <w:bottom w:val="none" w:sz="0" w:space="0" w:color="auto"/>
                                <w:right w:val="none" w:sz="0" w:space="0" w:color="auto"/>
                              </w:divBdr>
                              <w:divsChild>
                                <w:div w:id="606156485">
                                  <w:marLeft w:val="150"/>
                                  <w:marRight w:val="15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9224845">
      <w:bodyDiv w:val="1"/>
      <w:marLeft w:val="0"/>
      <w:marRight w:val="0"/>
      <w:marTop w:val="0"/>
      <w:marBottom w:val="0"/>
      <w:divBdr>
        <w:top w:val="none" w:sz="0" w:space="0" w:color="auto"/>
        <w:left w:val="none" w:sz="0" w:space="0" w:color="auto"/>
        <w:bottom w:val="none" w:sz="0" w:space="0" w:color="auto"/>
        <w:right w:val="none" w:sz="0" w:space="0" w:color="auto"/>
      </w:divBdr>
    </w:div>
    <w:div w:id="1465855018">
      <w:bodyDiv w:val="1"/>
      <w:marLeft w:val="0"/>
      <w:marRight w:val="0"/>
      <w:marTop w:val="0"/>
      <w:marBottom w:val="0"/>
      <w:divBdr>
        <w:top w:val="none" w:sz="0" w:space="0" w:color="auto"/>
        <w:left w:val="none" w:sz="0" w:space="0" w:color="auto"/>
        <w:bottom w:val="none" w:sz="0" w:space="0" w:color="auto"/>
        <w:right w:val="none" w:sz="0" w:space="0" w:color="auto"/>
      </w:divBdr>
    </w:div>
    <w:div w:id="1505247979">
      <w:bodyDiv w:val="1"/>
      <w:marLeft w:val="0"/>
      <w:marRight w:val="0"/>
      <w:marTop w:val="0"/>
      <w:marBottom w:val="0"/>
      <w:divBdr>
        <w:top w:val="none" w:sz="0" w:space="0" w:color="auto"/>
        <w:left w:val="none" w:sz="0" w:space="0" w:color="auto"/>
        <w:bottom w:val="none" w:sz="0" w:space="0" w:color="auto"/>
        <w:right w:val="none" w:sz="0" w:space="0" w:color="auto"/>
      </w:divBdr>
    </w:div>
    <w:div w:id="1535070919">
      <w:bodyDiv w:val="1"/>
      <w:marLeft w:val="0"/>
      <w:marRight w:val="0"/>
      <w:marTop w:val="0"/>
      <w:marBottom w:val="0"/>
      <w:divBdr>
        <w:top w:val="none" w:sz="0" w:space="0" w:color="auto"/>
        <w:left w:val="none" w:sz="0" w:space="0" w:color="auto"/>
        <w:bottom w:val="none" w:sz="0" w:space="0" w:color="auto"/>
        <w:right w:val="none" w:sz="0" w:space="0" w:color="auto"/>
      </w:divBdr>
    </w:div>
    <w:div w:id="1541477170">
      <w:bodyDiv w:val="1"/>
      <w:marLeft w:val="0"/>
      <w:marRight w:val="0"/>
      <w:marTop w:val="0"/>
      <w:marBottom w:val="0"/>
      <w:divBdr>
        <w:top w:val="none" w:sz="0" w:space="0" w:color="auto"/>
        <w:left w:val="none" w:sz="0" w:space="0" w:color="auto"/>
        <w:bottom w:val="none" w:sz="0" w:space="0" w:color="auto"/>
        <w:right w:val="none" w:sz="0" w:space="0" w:color="auto"/>
      </w:divBdr>
    </w:div>
    <w:div w:id="1555390172">
      <w:bodyDiv w:val="1"/>
      <w:marLeft w:val="0"/>
      <w:marRight w:val="0"/>
      <w:marTop w:val="0"/>
      <w:marBottom w:val="0"/>
      <w:divBdr>
        <w:top w:val="none" w:sz="0" w:space="0" w:color="auto"/>
        <w:left w:val="none" w:sz="0" w:space="0" w:color="auto"/>
        <w:bottom w:val="none" w:sz="0" w:space="0" w:color="auto"/>
        <w:right w:val="none" w:sz="0" w:space="0" w:color="auto"/>
      </w:divBdr>
    </w:div>
    <w:div w:id="1568490016">
      <w:bodyDiv w:val="1"/>
      <w:marLeft w:val="0"/>
      <w:marRight w:val="0"/>
      <w:marTop w:val="0"/>
      <w:marBottom w:val="0"/>
      <w:divBdr>
        <w:top w:val="none" w:sz="0" w:space="0" w:color="auto"/>
        <w:left w:val="none" w:sz="0" w:space="0" w:color="auto"/>
        <w:bottom w:val="none" w:sz="0" w:space="0" w:color="auto"/>
        <w:right w:val="none" w:sz="0" w:space="0" w:color="auto"/>
      </w:divBdr>
    </w:div>
    <w:div w:id="1575309995">
      <w:bodyDiv w:val="1"/>
      <w:marLeft w:val="0"/>
      <w:marRight w:val="0"/>
      <w:marTop w:val="0"/>
      <w:marBottom w:val="0"/>
      <w:divBdr>
        <w:top w:val="none" w:sz="0" w:space="0" w:color="auto"/>
        <w:left w:val="none" w:sz="0" w:space="0" w:color="auto"/>
        <w:bottom w:val="none" w:sz="0" w:space="0" w:color="auto"/>
        <w:right w:val="none" w:sz="0" w:space="0" w:color="auto"/>
      </w:divBdr>
    </w:div>
    <w:div w:id="1667055476">
      <w:bodyDiv w:val="1"/>
      <w:marLeft w:val="0"/>
      <w:marRight w:val="0"/>
      <w:marTop w:val="0"/>
      <w:marBottom w:val="0"/>
      <w:divBdr>
        <w:top w:val="none" w:sz="0" w:space="0" w:color="auto"/>
        <w:left w:val="none" w:sz="0" w:space="0" w:color="auto"/>
        <w:bottom w:val="none" w:sz="0" w:space="0" w:color="auto"/>
        <w:right w:val="none" w:sz="0" w:space="0" w:color="auto"/>
      </w:divBdr>
    </w:div>
    <w:div w:id="1686862389">
      <w:bodyDiv w:val="1"/>
      <w:marLeft w:val="0"/>
      <w:marRight w:val="0"/>
      <w:marTop w:val="0"/>
      <w:marBottom w:val="0"/>
      <w:divBdr>
        <w:top w:val="none" w:sz="0" w:space="0" w:color="auto"/>
        <w:left w:val="none" w:sz="0" w:space="0" w:color="auto"/>
        <w:bottom w:val="none" w:sz="0" w:space="0" w:color="auto"/>
        <w:right w:val="none" w:sz="0" w:space="0" w:color="auto"/>
      </w:divBdr>
    </w:div>
    <w:div w:id="1720206587">
      <w:bodyDiv w:val="1"/>
      <w:marLeft w:val="0"/>
      <w:marRight w:val="0"/>
      <w:marTop w:val="0"/>
      <w:marBottom w:val="0"/>
      <w:divBdr>
        <w:top w:val="none" w:sz="0" w:space="0" w:color="auto"/>
        <w:left w:val="none" w:sz="0" w:space="0" w:color="auto"/>
        <w:bottom w:val="none" w:sz="0" w:space="0" w:color="auto"/>
        <w:right w:val="none" w:sz="0" w:space="0" w:color="auto"/>
      </w:divBdr>
    </w:div>
    <w:div w:id="1797136398">
      <w:bodyDiv w:val="1"/>
      <w:marLeft w:val="0"/>
      <w:marRight w:val="0"/>
      <w:marTop w:val="0"/>
      <w:marBottom w:val="0"/>
      <w:divBdr>
        <w:top w:val="none" w:sz="0" w:space="0" w:color="auto"/>
        <w:left w:val="none" w:sz="0" w:space="0" w:color="auto"/>
        <w:bottom w:val="none" w:sz="0" w:space="0" w:color="auto"/>
        <w:right w:val="none" w:sz="0" w:space="0" w:color="auto"/>
      </w:divBdr>
    </w:div>
    <w:div w:id="1829978948">
      <w:bodyDiv w:val="1"/>
      <w:marLeft w:val="0"/>
      <w:marRight w:val="0"/>
      <w:marTop w:val="0"/>
      <w:marBottom w:val="0"/>
      <w:divBdr>
        <w:top w:val="none" w:sz="0" w:space="0" w:color="auto"/>
        <w:left w:val="none" w:sz="0" w:space="0" w:color="auto"/>
        <w:bottom w:val="none" w:sz="0" w:space="0" w:color="auto"/>
        <w:right w:val="none" w:sz="0" w:space="0" w:color="auto"/>
      </w:divBdr>
    </w:div>
    <w:div w:id="1842696308">
      <w:bodyDiv w:val="1"/>
      <w:marLeft w:val="0"/>
      <w:marRight w:val="0"/>
      <w:marTop w:val="0"/>
      <w:marBottom w:val="0"/>
      <w:divBdr>
        <w:top w:val="none" w:sz="0" w:space="0" w:color="auto"/>
        <w:left w:val="none" w:sz="0" w:space="0" w:color="auto"/>
        <w:bottom w:val="none" w:sz="0" w:space="0" w:color="auto"/>
        <w:right w:val="none" w:sz="0" w:space="0" w:color="auto"/>
      </w:divBdr>
    </w:div>
    <w:div w:id="1843470031">
      <w:bodyDiv w:val="1"/>
      <w:marLeft w:val="0"/>
      <w:marRight w:val="0"/>
      <w:marTop w:val="0"/>
      <w:marBottom w:val="0"/>
      <w:divBdr>
        <w:top w:val="none" w:sz="0" w:space="0" w:color="auto"/>
        <w:left w:val="none" w:sz="0" w:space="0" w:color="auto"/>
        <w:bottom w:val="none" w:sz="0" w:space="0" w:color="auto"/>
        <w:right w:val="none" w:sz="0" w:space="0" w:color="auto"/>
      </w:divBdr>
    </w:div>
    <w:div w:id="1882596233">
      <w:bodyDiv w:val="1"/>
      <w:marLeft w:val="0"/>
      <w:marRight w:val="0"/>
      <w:marTop w:val="0"/>
      <w:marBottom w:val="0"/>
      <w:divBdr>
        <w:top w:val="none" w:sz="0" w:space="0" w:color="auto"/>
        <w:left w:val="none" w:sz="0" w:space="0" w:color="auto"/>
        <w:bottom w:val="none" w:sz="0" w:space="0" w:color="auto"/>
        <w:right w:val="none" w:sz="0" w:space="0" w:color="auto"/>
      </w:divBdr>
    </w:div>
    <w:div w:id="1907689688">
      <w:bodyDiv w:val="1"/>
      <w:marLeft w:val="0"/>
      <w:marRight w:val="0"/>
      <w:marTop w:val="0"/>
      <w:marBottom w:val="0"/>
      <w:divBdr>
        <w:top w:val="none" w:sz="0" w:space="0" w:color="auto"/>
        <w:left w:val="none" w:sz="0" w:space="0" w:color="auto"/>
        <w:bottom w:val="none" w:sz="0" w:space="0" w:color="auto"/>
        <w:right w:val="none" w:sz="0" w:space="0" w:color="auto"/>
      </w:divBdr>
    </w:div>
    <w:div w:id="1933195307">
      <w:bodyDiv w:val="1"/>
      <w:marLeft w:val="0"/>
      <w:marRight w:val="0"/>
      <w:marTop w:val="0"/>
      <w:marBottom w:val="0"/>
      <w:divBdr>
        <w:top w:val="none" w:sz="0" w:space="0" w:color="auto"/>
        <w:left w:val="none" w:sz="0" w:space="0" w:color="auto"/>
        <w:bottom w:val="none" w:sz="0" w:space="0" w:color="auto"/>
        <w:right w:val="none" w:sz="0" w:space="0" w:color="auto"/>
      </w:divBdr>
    </w:div>
    <w:div w:id="1944219410">
      <w:bodyDiv w:val="1"/>
      <w:marLeft w:val="0"/>
      <w:marRight w:val="0"/>
      <w:marTop w:val="0"/>
      <w:marBottom w:val="0"/>
      <w:divBdr>
        <w:top w:val="none" w:sz="0" w:space="0" w:color="auto"/>
        <w:left w:val="none" w:sz="0" w:space="0" w:color="auto"/>
        <w:bottom w:val="none" w:sz="0" w:space="0" w:color="auto"/>
        <w:right w:val="none" w:sz="0" w:space="0" w:color="auto"/>
      </w:divBdr>
    </w:div>
    <w:div w:id="1957831577">
      <w:bodyDiv w:val="1"/>
      <w:marLeft w:val="0"/>
      <w:marRight w:val="0"/>
      <w:marTop w:val="0"/>
      <w:marBottom w:val="0"/>
      <w:divBdr>
        <w:top w:val="none" w:sz="0" w:space="0" w:color="auto"/>
        <w:left w:val="none" w:sz="0" w:space="0" w:color="auto"/>
        <w:bottom w:val="none" w:sz="0" w:space="0" w:color="auto"/>
        <w:right w:val="none" w:sz="0" w:space="0" w:color="auto"/>
      </w:divBdr>
    </w:div>
    <w:div w:id="1998654163">
      <w:bodyDiv w:val="1"/>
      <w:marLeft w:val="0"/>
      <w:marRight w:val="0"/>
      <w:marTop w:val="0"/>
      <w:marBottom w:val="0"/>
      <w:divBdr>
        <w:top w:val="none" w:sz="0" w:space="0" w:color="auto"/>
        <w:left w:val="none" w:sz="0" w:space="0" w:color="auto"/>
        <w:bottom w:val="none" w:sz="0" w:space="0" w:color="auto"/>
        <w:right w:val="none" w:sz="0" w:space="0" w:color="auto"/>
      </w:divBdr>
    </w:div>
    <w:div w:id="2023243502">
      <w:bodyDiv w:val="1"/>
      <w:marLeft w:val="0"/>
      <w:marRight w:val="0"/>
      <w:marTop w:val="0"/>
      <w:marBottom w:val="0"/>
      <w:divBdr>
        <w:top w:val="none" w:sz="0" w:space="0" w:color="auto"/>
        <w:left w:val="none" w:sz="0" w:space="0" w:color="auto"/>
        <w:bottom w:val="none" w:sz="0" w:space="0" w:color="auto"/>
        <w:right w:val="none" w:sz="0" w:space="0" w:color="auto"/>
      </w:divBdr>
    </w:div>
    <w:div w:id="2043045385">
      <w:bodyDiv w:val="1"/>
      <w:marLeft w:val="0"/>
      <w:marRight w:val="0"/>
      <w:marTop w:val="0"/>
      <w:marBottom w:val="0"/>
      <w:divBdr>
        <w:top w:val="none" w:sz="0" w:space="0" w:color="auto"/>
        <w:left w:val="none" w:sz="0" w:space="0" w:color="auto"/>
        <w:bottom w:val="none" w:sz="0" w:space="0" w:color="auto"/>
        <w:right w:val="none" w:sz="0" w:space="0" w:color="auto"/>
      </w:divBdr>
    </w:div>
    <w:div w:id="2086535969">
      <w:bodyDiv w:val="1"/>
      <w:marLeft w:val="0"/>
      <w:marRight w:val="0"/>
      <w:marTop w:val="0"/>
      <w:marBottom w:val="0"/>
      <w:divBdr>
        <w:top w:val="none" w:sz="0" w:space="0" w:color="auto"/>
        <w:left w:val="none" w:sz="0" w:space="0" w:color="auto"/>
        <w:bottom w:val="none" w:sz="0" w:space="0" w:color="auto"/>
        <w:right w:val="none" w:sz="0" w:space="0" w:color="auto"/>
      </w:divBdr>
    </w:div>
    <w:div w:id="210587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chart" Target="charts/chart4.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ramovic\Desktop\Grafici%20-%20Rebalans%20201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ramovic\Desktop\Grafici%20-%20Rebalans%20201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ramovic\Desktop\Grafici%20-%20Rebalans%202016.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ramovic\Desktop\Grafici%20-%20Rebalans%20201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1"/>
    </mc:Choice>
    <mc:Fallback>
      <c:style val="21"/>
    </mc:Fallback>
  </mc:AlternateContent>
  <c:chart>
    <c:autoTitleDeleted val="0"/>
    <c:plotArea>
      <c:layout/>
      <c:barChart>
        <c:barDir val="col"/>
        <c:grouping val="clustered"/>
        <c:varyColors val="0"/>
        <c:ser>
          <c:idx val="0"/>
          <c:order val="0"/>
          <c:tx>
            <c:strRef>
              <c:f>'Ukupni prihodi'!$C$30</c:f>
              <c:strCache>
                <c:ptCount val="1"/>
                <c:pt idx="0">
                  <c:v>Budžet FBiH za 2016. godinu</c:v>
                </c:pt>
              </c:strCache>
            </c:strRef>
          </c:tx>
          <c:invertIfNegative val="0"/>
          <c:cat>
            <c:numRef>
              <c:f>'Ukupni prihodi'!$A$32:$A$43</c:f>
              <c:numCache>
                <c:formatCode>General</c:formatCode>
                <c:ptCount val="12"/>
                <c:pt idx="0">
                  <c:v>711</c:v>
                </c:pt>
                <c:pt idx="1">
                  <c:v>717</c:v>
                </c:pt>
                <c:pt idx="2">
                  <c:v>719</c:v>
                </c:pt>
                <c:pt idx="3">
                  <c:v>777</c:v>
                </c:pt>
                <c:pt idx="4">
                  <c:v>721</c:v>
                </c:pt>
                <c:pt idx="5">
                  <c:v>722</c:v>
                </c:pt>
                <c:pt idx="6">
                  <c:v>723</c:v>
                </c:pt>
                <c:pt idx="7">
                  <c:v>733</c:v>
                </c:pt>
                <c:pt idx="8">
                  <c:v>811</c:v>
                </c:pt>
                <c:pt idx="9">
                  <c:v>813</c:v>
                </c:pt>
                <c:pt idx="10">
                  <c:v>814</c:v>
                </c:pt>
                <c:pt idx="11">
                  <c:v>815</c:v>
                </c:pt>
              </c:numCache>
            </c:numRef>
          </c:cat>
          <c:val>
            <c:numRef>
              <c:f>'Ukupni prihodi'!$C$32:$C$43</c:f>
              <c:numCache>
                <c:formatCode>#,##0</c:formatCode>
                <c:ptCount val="12"/>
                <c:pt idx="0">
                  <c:v>44646744</c:v>
                </c:pt>
                <c:pt idx="1">
                  <c:v>1395597358</c:v>
                </c:pt>
                <c:pt idx="2">
                  <c:v>360000</c:v>
                </c:pt>
                <c:pt idx="3">
                  <c:v>0</c:v>
                </c:pt>
                <c:pt idx="4">
                  <c:v>328634249</c:v>
                </c:pt>
                <c:pt idx="5">
                  <c:v>103916510</c:v>
                </c:pt>
                <c:pt idx="6">
                  <c:v>13707262</c:v>
                </c:pt>
                <c:pt idx="7">
                  <c:v>0</c:v>
                </c:pt>
                <c:pt idx="8">
                  <c:v>0</c:v>
                </c:pt>
                <c:pt idx="9">
                  <c:v>0</c:v>
                </c:pt>
                <c:pt idx="10">
                  <c:v>352000000</c:v>
                </c:pt>
                <c:pt idx="11">
                  <c:v>360000000</c:v>
                </c:pt>
              </c:numCache>
            </c:numRef>
          </c:val>
        </c:ser>
        <c:ser>
          <c:idx val="1"/>
          <c:order val="1"/>
          <c:tx>
            <c:strRef>
              <c:f>'Ukupni prihodi'!$D$30</c:f>
              <c:strCache>
                <c:ptCount val="1"/>
                <c:pt idx="0">
                  <c:v>Izmjene i dopune Budžeta FBiH za 2016. godinu</c:v>
                </c:pt>
              </c:strCache>
            </c:strRef>
          </c:tx>
          <c:invertIfNegative val="0"/>
          <c:cat>
            <c:numRef>
              <c:f>'Ukupni prihodi'!$A$32:$A$43</c:f>
              <c:numCache>
                <c:formatCode>General</c:formatCode>
                <c:ptCount val="12"/>
                <c:pt idx="0">
                  <c:v>711</c:v>
                </c:pt>
                <c:pt idx="1">
                  <c:v>717</c:v>
                </c:pt>
                <c:pt idx="2">
                  <c:v>719</c:v>
                </c:pt>
                <c:pt idx="3">
                  <c:v>777</c:v>
                </c:pt>
                <c:pt idx="4">
                  <c:v>721</c:v>
                </c:pt>
                <c:pt idx="5">
                  <c:v>722</c:v>
                </c:pt>
                <c:pt idx="6">
                  <c:v>723</c:v>
                </c:pt>
                <c:pt idx="7">
                  <c:v>733</c:v>
                </c:pt>
                <c:pt idx="8">
                  <c:v>811</c:v>
                </c:pt>
                <c:pt idx="9">
                  <c:v>813</c:v>
                </c:pt>
                <c:pt idx="10">
                  <c:v>814</c:v>
                </c:pt>
                <c:pt idx="11">
                  <c:v>815</c:v>
                </c:pt>
              </c:numCache>
            </c:numRef>
          </c:cat>
          <c:val>
            <c:numRef>
              <c:f>'Ukupni prihodi'!$D$32:$D$43</c:f>
              <c:numCache>
                <c:formatCode>#,##0</c:formatCode>
                <c:ptCount val="12"/>
                <c:pt idx="0">
                  <c:v>55052591</c:v>
                </c:pt>
                <c:pt idx="1">
                  <c:v>362040</c:v>
                </c:pt>
                <c:pt idx="2">
                  <c:v>360000</c:v>
                </c:pt>
                <c:pt idx="3">
                  <c:v>2040</c:v>
                </c:pt>
                <c:pt idx="4">
                  <c:v>361782139</c:v>
                </c:pt>
                <c:pt idx="5">
                  <c:v>96365640</c:v>
                </c:pt>
                <c:pt idx="6">
                  <c:v>15318793</c:v>
                </c:pt>
                <c:pt idx="7">
                  <c:v>39520</c:v>
                </c:pt>
                <c:pt idx="8">
                  <c:v>39976</c:v>
                </c:pt>
                <c:pt idx="9">
                  <c:v>0</c:v>
                </c:pt>
                <c:pt idx="10">
                  <c:v>242622860</c:v>
                </c:pt>
                <c:pt idx="11">
                  <c:v>350000000</c:v>
                </c:pt>
              </c:numCache>
            </c:numRef>
          </c:val>
        </c:ser>
        <c:dLbls>
          <c:showLegendKey val="0"/>
          <c:showVal val="0"/>
          <c:showCatName val="0"/>
          <c:showSerName val="0"/>
          <c:showPercent val="0"/>
          <c:showBubbleSize val="0"/>
        </c:dLbls>
        <c:gapWidth val="75"/>
        <c:overlap val="-25"/>
        <c:axId val="671975696"/>
        <c:axId val="671976256"/>
      </c:barChart>
      <c:catAx>
        <c:axId val="671975696"/>
        <c:scaling>
          <c:orientation val="minMax"/>
        </c:scaling>
        <c:delete val="0"/>
        <c:axPos val="b"/>
        <c:numFmt formatCode="General" sourceLinked="1"/>
        <c:majorTickMark val="none"/>
        <c:minorTickMark val="none"/>
        <c:tickLblPos val="nextTo"/>
        <c:crossAx val="671976256"/>
        <c:crosses val="autoZero"/>
        <c:auto val="1"/>
        <c:lblAlgn val="ctr"/>
        <c:lblOffset val="100"/>
        <c:noMultiLvlLbl val="0"/>
      </c:catAx>
      <c:valAx>
        <c:axId val="671976256"/>
        <c:scaling>
          <c:orientation val="minMax"/>
        </c:scaling>
        <c:delete val="0"/>
        <c:axPos val="l"/>
        <c:majorGridlines/>
        <c:numFmt formatCode="#,##0" sourceLinked="1"/>
        <c:majorTickMark val="out"/>
        <c:minorTickMark val="none"/>
        <c:tickLblPos val="nextTo"/>
        <c:crossAx val="671975696"/>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3"/>
    </mc:Choice>
    <mc:Fallback>
      <c:style val="13"/>
    </mc:Fallback>
  </mc:AlternateContent>
  <c:chart>
    <c:autoTitleDeleted val="1"/>
    <c:view3D>
      <c:rotX val="40"/>
      <c:rotY val="260"/>
      <c:rAngAx val="0"/>
      <c:perspective val="10"/>
    </c:view3D>
    <c:floor>
      <c:thickness val="0"/>
    </c:floor>
    <c:sideWall>
      <c:thickness val="0"/>
    </c:sideWall>
    <c:backWall>
      <c:thickness val="0"/>
    </c:backWall>
    <c:plotArea>
      <c:layout/>
      <c:pie3DChart>
        <c:varyColors val="1"/>
        <c:ser>
          <c:idx val="1"/>
          <c:order val="0"/>
          <c:tx>
            <c:v>Učešće pojedinih prihoda u ukupnim prihodima planiranim u Budžetu FBiH za 2013. godinu</c:v>
          </c:tx>
          <c:dLbls>
            <c:dLbl>
              <c:idx val="0"/>
              <c:layout>
                <c:manualLayout>
                  <c:x val="0"/>
                  <c:y val="2.477814093992968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0.2255534307186729"/>
                  <c:y val="1.711038478680731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0"/>
                  <c:y val="9.9039271034516915E-3"/>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0"/>
                  <c:y val="-0.37081934333679983"/>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 val="2.1164017245248558E-2"/>
                  <c:y val="-0.33895805477145546"/>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 val="-6.8894721493146696E-2"/>
                  <c:y val="-5.7424354974496113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6"/>
              <c:layout>
                <c:manualLayout>
                  <c:x val="-0.19633523655186869"/>
                  <c:y val="4.6758034962610807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7"/>
              <c:layout>
                <c:manualLayout>
                  <c:x val="-0.49081411289994065"/>
                  <c:y val="-3.3832693990174306E-3"/>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8"/>
              <c:layout>
                <c:manualLayout>
                  <c:x val="0"/>
                  <c:y val="0.12767320358540088"/>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9"/>
              <c:layout>
                <c:manualLayout>
                  <c:x val="0"/>
                  <c:y val="-4.9654088050314467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0"/>
              <c:layout>
                <c:manualLayout>
                  <c:x val="-1.4640021849120713E-2"/>
                  <c:y val="0.14607190610607637"/>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1"/>
              <c:layout>
                <c:manualLayout>
                  <c:x val="1.1887123019414607E-2"/>
                  <c:y val="-0.11331525776259099"/>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00%" sourceLinked="0"/>
            <c:spPr>
              <a:noFill/>
              <a:ln>
                <a:noFill/>
              </a:ln>
              <a:effectLst/>
            </c:spPr>
            <c:dLblPos val="bestFit"/>
            <c:showLegendKey val="0"/>
            <c:showVal val="0"/>
            <c:showCatName val="1"/>
            <c:showSerName val="0"/>
            <c:showPercent val="1"/>
            <c:showBubbleSize val="0"/>
            <c:showLeaderLines val="1"/>
            <c:extLst>
              <c:ext xmlns:c15="http://schemas.microsoft.com/office/drawing/2012/chart" uri="{CE6537A1-D6FC-4f65-9D91-7224C49458BB}"/>
            </c:extLst>
          </c:dLbls>
          <c:cat>
            <c:strRef>
              <c:f>'Ukupni prihodi'!$B$32:$B$43</c:f>
              <c:strCache>
                <c:ptCount val="12"/>
                <c:pt idx="0">
                  <c:v>Porez na dobit pojedinaca i preduzeća</c:v>
                </c:pt>
                <c:pt idx="1">
                  <c:v>Prihodi od indirektnih poreza sa JR</c:v>
                </c:pt>
                <c:pt idx="2">
                  <c:v>Ostali porezi</c:v>
                </c:pt>
                <c:pt idx="3">
                  <c:v>Prihodi po osnovu zaostalih obaveza</c:v>
                </c:pt>
                <c:pt idx="4">
                  <c:v>Prihodi od pod. akt. i imovine i prihodi od poz. kur. razlika</c:v>
                </c:pt>
                <c:pt idx="5">
                  <c:v>Naknade i takse i prihodi od pružanja javnih usluga</c:v>
                </c:pt>
                <c:pt idx="6">
                  <c:v>Novčane kazne</c:v>
                </c:pt>
                <c:pt idx="7">
                  <c:v>Donacije</c:v>
                </c:pt>
                <c:pt idx="8">
                  <c:v>Kapitalni primici od prodaje stalnih sredstava</c:v>
                </c:pt>
                <c:pt idx="9">
                  <c:v>Primici od finansijske imovine</c:v>
                </c:pt>
                <c:pt idx="10">
                  <c:v>Dugoročni krediti i zajmovi</c:v>
                </c:pt>
                <c:pt idx="11">
                  <c:v>Kratkoročni krediti i zajmovi</c:v>
                </c:pt>
              </c:strCache>
            </c:strRef>
          </c:cat>
          <c:val>
            <c:numRef>
              <c:f>'Ukupni prihodi'!$D$32:$D$43</c:f>
              <c:numCache>
                <c:formatCode>#,##0</c:formatCode>
                <c:ptCount val="12"/>
                <c:pt idx="0">
                  <c:v>55052591</c:v>
                </c:pt>
                <c:pt idx="1">
                  <c:v>362040</c:v>
                </c:pt>
                <c:pt idx="2">
                  <c:v>360000</c:v>
                </c:pt>
                <c:pt idx="3">
                  <c:v>2040</c:v>
                </c:pt>
                <c:pt idx="4">
                  <c:v>361782139</c:v>
                </c:pt>
                <c:pt idx="5">
                  <c:v>96365640</c:v>
                </c:pt>
                <c:pt idx="6">
                  <c:v>15318793</c:v>
                </c:pt>
                <c:pt idx="7">
                  <c:v>39520</c:v>
                </c:pt>
                <c:pt idx="8">
                  <c:v>39976</c:v>
                </c:pt>
                <c:pt idx="9">
                  <c:v>0</c:v>
                </c:pt>
                <c:pt idx="10">
                  <c:v>242622860</c:v>
                </c:pt>
                <c:pt idx="11">
                  <c:v>350000000</c:v>
                </c:pt>
              </c:numCache>
            </c:numRef>
          </c:val>
        </c:ser>
        <c:dLbls>
          <c:showLegendKey val="0"/>
          <c:showVal val="0"/>
          <c:showCatName val="1"/>
          <c:showSerName val="0"/>
          <c:showPercent val="1"/>
          <c:showBubbleSize val="0"/>
          <c:showLeaderLines val="1"/>
        </c:dLbls>
      </c:pie3DChart>
    </c:plotArea>
    <c:plotVisOnly val="1"/>
    <c:dispBlanksAs val="zero"/>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1"/>
    </mc:Choice>
    <mc:Fallback>
      <c:style val="21"/>
    </mc:Fallback>
  </mc:AlternateContent>
  <c:chart>
    <c:autoTitleDeleted val="0"/>
    <c:plotArea>
      <c:layout/>
      <c:barChart>
        <c:barDir val="col"/>
        <c:grouping val="clustered"/>
        <c:varyColors val="0"/>
        <c:ser>
          <c:idx val="0"/>
          <c:order val="0"/>
          <c:tx>
            <c:strRef>
              <c:f>'Ukupni rashodi'!$C$2</c:f>
              <c:strCache>
                <c:ptCount val="1"/>
                <c:pt idx="0">
                  <c:v>Budžet FBiH za 2016. godinu</c:v>
                </c:pt>
              </c:strCache>
            </c:strRef>
          </c:tx>
          <c:invertIfNegative val="0"/>
          <c:cat>
            <c:numRef>
              <c:f>'Ukupni rashodi'!$A$4:$A$13</c:f>
              <c:numCache>
                <c:formatCode>General</c:formatCode>
                <c:ptCount val="10"/>
                <c:pt idx="0">
                  <c:v>600</c:v>
                </c:pt>
                <c:pt idx="1">
                  <c:v>611</c:v>
                </c:pt>
                <c:pt idx="2">
                  <c:v>612</c:v>
                </c:pt>
                <c:pt idx="3">
                  <c:v>613</c:v>
                </c:pt>
                <c:pt idx="4">
                  <c:v>614</c:v>
                </c:pt>
                <c:pt idx="5">
                  <c:v>615</c:v>
                </c:pt>
                <c:pt idx="6">
                  <c:v>616</c:v>
                </c:pt>
                <c:pt idx="7">
                  <c:v>821</c:v>
                </c:pt>
                <c:pt idx="8">
                  <c:v>822</c:v>
                </c:pt>
                <c:pt idx="9">
                  <c:v>823</c:v>
                </c:pt>
              </c:numCache>
            </c:numRef>
          </c:cat>
          <c:val>
            <c:numRef>
              <c:f>'Ukupni rashodi'!$C$4:$C$13</c:f>
              <c:numCache>
                <c:formatCode>#,##0</c:formatCode>
                <c:ptCount val="10"/>
                <c:pt idx="0">
                  <c:v>5155000</c:v>
                </c:pt>
                <c:pt idx="1">
                  <c:v>217536222</c:v>
                </c:pt>
                <c:pt idx="2">
                  <c:v>23344663</c:v>
                </c:pt>
                <c:pt idx="3">
                  <c:v>91821232</c:v>
                </c:pt>
                <c:pt idx="4">
                  <c:v>1073418580</c:v>
                </c:pt>
                <c:pt idx="5">
                  <c:v>16400000</c:v>
                </c:pt>
                <c:pt idx="6">
                  <c:v>123347312</c:v>
                </c:pt>
                <c:pt idx="7">
                  <c:v>33845416</c:v>
                </c:pt>
                <c:pt idx="8">
                  <c:v>19087000</c:v>
                </c:pt>
                <c:pt idx="9">
                  <c:v>974906698</c:v>
                </c:pt>
              </c:numCache>
            </c:numRef>
          </c:val>
        </c:ser>
        <c:ser>
          <c:idx val="1"/>
          <c:order val="1"/>
          <c:tx>
            <c:strRef>
              <c:f>'Ukupni rashodi'!$D$2</c:f>
              <c:strCache>
                <c:ptCount val="1"/>
                <c:pt idx="0">
                  <c:v>Izmjene i dopune Budžeta FBiH za 2016. godinu</c:v>
                </c:pt>
              </c:strCache>
            </c:strRef>
          </c:tx>
          <c:invertIfNegative val="0"/>
          <c:cat>
            <c:numRef>
              <c:f>'Ukupni rashodi'!$A$4:$A$13</c:f>
              <c:numCache>
                <c:formatCode>General</c:formatCode>
                <c:ptCount val="10"/>
                <c:pt idx="0">
                  <c:v>600</c:v>
                </c:pt>
                <c:pt idx="1">
                  <c:v>611</c:v>
                </c:pt>
                <c:pt idx="2">
                  <c:v>612</c:v>
                </c:pt>
                <c:pt idx="3">
                  <c:v>613</c:v>
                </c:pt>
                <c:pt idx="4">
                  <c:v>614</c:v>
                </c:pt>
                <c:pt idx="5">
                  <c:v>615</c:v>
                </c:pt>
                <c:pt idx="6">
                  <c:v>616</c:v>
                </c:pt>
                <c:pt idx="7">
                  <c:v>821</c:v>
                </c:pt>
                <c:pt idx="8">
                  <c:v>822</c:v>
                </c:pt>
                <c:pt idx="9">
                  <c:v>823</c:v>
                </c:pt>
              </c:numCache>
            </c:numRef>
          </c:cat>
          <c:val>
            <c:numRef>
              <c:f>'Ukupni rashodi'!$D$4:$D$13</c:f>
              <c:numCache>
                <c:formatCode>#,##0</c:formatCode>
                <c:ptCount val="10"/>
                <c:pt idx="0">
                  <c:v>5155000</c:v>
                </c:pt>
                <c:pt idx="1">
                  <c:v>208223706</c:v>
                </c:pt>
                <c:pt idx="2">
                  <c:v>22354219</c:v>
                </c:pt>
                <c:pt idx="3">
                  <c:v>92398758</c:v>
                </c:pt>
                <c:pt idx="4">
                  <c:v>1077496114</c:v>
                </c:pt>
                <c:pt idx="5">
                  <c:v>13060000</c:v>
                </c:pt>
                <c:pt idx="6">
                  <c:v>120347312</c:v>
                </c:pt>
                <c:pt idx="7">
                  <c:v>29497110</c:v>
                </c:pt>
                <c:pt idx="8">
                  <c:v>16587000</c:v>
                </c:pt>
                <c:pt idx="9">
                  <c:v>912061698</c:v>
                </c:pt>
              </c:numCache>
            </c:numRef>
          </c:val>
        </c:ser>
        <c:dLbls>
          <c:showLegendKey val="0"/>
          <c:showVal val="0"/>
          <c:showCatName val="0"/>
          <c:showSerName val="0"/>
          <c:showPercent val="0"/>
          <c:showBubbleSize val="0"/>
        </c:dLbls>
        <c:gapWidth val="75"/>
        <c:overlap val="-25"/>
        <c:axId val="671980736"/>
        <c:axId val="671981296"/>
      </c:barChart>
      <c:catAx>
        <c:axId val="671980736"/>
        <c:scaling>
          <c:orientation val="minMax"/>
        </c:scaling>
        <c:delete val="0"/>
        <c:axPos val="b"/>
        <c:numFmt formatCode="General" sourceLinked="1"/>
        <c:majorTickMark val="none"/>
        <c:minorTickMark val="none"/>
        <c:tickLblPos val="nextTo"/>
        <c:crossAx val="671981296"/>
        <c:crosses val="autoZero"/>
        <c:auto val="1"/>
        <c:lblAlgn val="ctr"/>
        <c:lblOffset val="100"/>
        <c:noMultiLvlLbl val="0"/>
      </c:catAx>
      <c:valAx>
        <c:axId val="671981296"/>
        <c:scaling>
          <c:orientation val="minMax"/>
        </c:scaling>
        <c:delete val="0"/>
        <c:axPos val="l"/>
        <c:majorGridlines/>
        <c:numFmt formatCode="#,##0" sourceLinked="1"/>
        <c:majorTickMark val="out"/>
        <c:minorTickMark val="none"/>
        <c:tickLblPos val="nextTo"/>
        <c:crossAx val="671980736"/>
        <c:crosses val="autoZero"/>
        <c:crossBetween val="between"/>
      </c:valAx>
    </c:plotArea>
    <c:legend>
      <c:legendPos val="b"/>
      <c:overlay val="0"/>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3"/>
    </mc:Choice>
    <mc:Fallback>
      <c:style val="13"/>
    </mc:Fallback>
  </mc:AlternateContent>
  <c:chart>
    <c:autoTitleDeleted val="1"/>
    <c:view3D>
      <c:rotX val="40"/>
      <c:rotY val="240"/>
      <c:rAngAx val="0"/>
      <c:perspective val="10"/>
    </c:view3D>
    <c:floor>
      <c:thickness val="0"/>
    </c:floor>
    <c:sideWall>
      <c:thickness val="0"/>
    </c:sideWall>
    <c:backWall>
      <c:thickness val="0"/>
    </c:backWall>
    <c:plotArea>
      <c:layout/>
      <c:pie3DChart>
        <c:varyColors val="1"/>
        <c:ser>
          <c:idx val="1"/>
          <c:order val="0"/>
          <c:tx>
            <c:v>Učešće pojedinih rashoda u ukupnim rashodima planiranim u Budžetu FBiH za 2013. godinu</c:v>
          </c:tx>
          <c:dLbls>
            <c:dLbl>
              <c:idx val="0"/>
              <c:layout>
                <c:manualLayout>
                  <c:x val="4.1222950278068389E-2"/>
                  <c:y val="0.1464413823272091"/>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5.2466457427087346E-2"/>
                  <c:y val="8.7377515310586171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4.2310629003542391E-2"/>
                  <c:y val="3.6277340332458441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3"/>
              <c:layout>
                <c:manualLayout>
                  <c:x val="-2.2359635115540628E-2"/>
                  <c:y val="-0.1518711723534558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4"/>
              <c:layout>
                <c:manualLayout>
                  <c:x val="-3.8396747609346034E-2"/>
                  <c:y val="0.16979804607757365"/>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5"/>
              <c:layout>
                <c:manualLayout>
                  <c:x val="1.9943101517904686E-2"/>
                  <c:y val="-0.23422098279381745"/>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6"/>
              <c:layout>
                <c:manualLayout>
                  <c:x val="3.426114567846851E-2"/>
                  <c:y val="-8.1582093904928557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7"/>
              <c:layout>
                <c:manualLayout>
                  <c:x val="4.0863939210395904E-2"/>
                  <c:y val="4.1666666666666666E-3"/>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8"/>
              <c:layout>
                <c:manualLayout>
                  <c:x val="-3.095259071637016E-2"/>
                  <c:y val="0.24740412656751248"/>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9"/>
              <c:layout>
                <c:manualLayout>
                  <c:x val="-5.1866453756217533E-2"/>
                  <c:y val="-0.30472987751531078"/>
                </c:manualLayout>
              </c:layout>
              <c:dLblPos val="bestFit"/>
              <c:showLegendKey val="0"/>
              <c:showVal val="0"/>
              <c:showCatName val="1"/>
              <c:showSerName val="0"/>
              <c:showPercent val="1"/>
              <c:showBubbleSize val="0"/>
              <c:extLst>
                <c:ext xmlns:c15="http://schemas.microsoft.com/office/drawing/2012/chart" uri="{CE6537A1-D6FC-4f65-9D91-7224C49458BB}"/>
              </c:extLst>
            </c:dLbl>
            <c:numFmt formatCode="0.00%" sourceLinked="0"/>
            <c:spPr>
              <a:noFill/>
              <a:ln>
                <a:noFill/>
              </a:ln>
              <a:effectLst/>
            </c:spPr>
            <c:dLblPos val="bestFit"/>
            <c:showLegendKey val="0"/>
            <c:showVal val="0"/>
            <c:showCatName val="1"/>
            <c:showSerName val="0"/>
            <c:showPercent val="1"/>
            <c:showBubbleSize val="0"/>
            <c:showLeaderLines val="1"/>
            <c:extLst>
              <c:ext xmlns:c15="http://schemas.microsoft.com/office/drawing/2012/chart" uri="{CE6537A1-D6FC-4f65-9D91-7224C49458BB}"/>
            </c:extLst>
          </c:dLbls>
          <c:cat>
            <c:strRef>
              <c:f>'Ukupni rashodi'!$B$4:$B$13</c:f>
              <c:strCache>
                <c:ptCount val="10"/>
                <c:pt idx="0">
                  <c:v>Tekuća rezerva</c:v>
                </c:pt>
                <c:pt idx="1">
                  <c:v>Plaće i naknade troškova zaposlenih</c:v>
                </c:pt>
                <c:pt idx="2">
                  <c:v>Doprinosi poslodavca i ostali dop.</c:v>
                </c:pt>
                <c:pt idx="3">
                  <c:v>Izdaci za materijal, sitni inv. i usluge</c:v>
                </c:pt>
                <c:pt idx="4">
                  <c:v>Tekući transferi i drugi tekući rashodi</c:v>
                </c:pt>
                <c:pt idx="5">
                  <c:v>Kapitalni transferi</c:v>
                </c:pt>
                <c:pt idx="6">
                  <c:v>Izdaci za kamate</c:v>
                </c:pt>
                <c:pt idx="7">
                  <c:v>Izdaci za nabavku stalnih sredstava</c:v>
                </c:pt>
                <c:pt idx="8">
                  <c:v>Izdaci za finansijsku imovinu</c:v>
                </c:pt>
                <c:pt idx="9">
                  <c:v>Izdaci za otplate dugova</c:v>
                </c:pt>
              </c:strCache>
            </c:strRef>
          </c:cat>
          <c:val>
            <c:numRef>
              <c:f>'Ukupni rashodi'!$D$4:$D$13</c:f>
              <c:numCache>
                <c:formatCode>#,##0</c:formatCode>
                <c:ptCount val="10"/>
                <c:pt idx="0">
                  <c:v>5155000</c:v>
                </c:pt>
                <c:pt idx="1">
                  <c:v>208223706</c:v>
                </c:pt>
                <c:pt idx="2">
                  <c:v>22354219</c:v>
                </c:pt>
                <c:pt idx="3">
                  <c:v>92398758</c:v>
                </c:pt>
                <c:pt idx="4">
                  <c:v>1077496114</c:v>
                </c:pt>
                <c:pt idx="5">
                  <c:v>13060000</c:v>
                </c:pt>
                <c:pt idx="6">
                  <c:v>120347312</c:v>
                </c:pt>
                <c:pt idx="7">
                  <c:v>29497110</c:v>
                </c:pt>
                <c:pt idx="8">
                  <c:v>16587000</c:v>
                </c:pt>
                <c:pt idx="9">
                  <c:v>912061698</c:v>
                </c:pt>
              </c:numCache>
            </c:numRef>
          </c:val>
        </c:ser>
        <c:dLbls>
          <c:showLegendKey val="0"/>
          <c:showVal val="0"/>
          <c:showCatName val="1"/>
          <c:showSerName val="0"/>
          <c:showPercent val="1"/>
          <c:showBubbleSize val="0"/>
          <c:showLeaderLines val="1"/>
        </c:dLbls>
      </c:pie3DChart>
    </c:plotArea>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FEDERALNO MINISTARSTVO FINANSIJA - FINANCIJA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0CB464-1A14-4DED-A01D-D63539F11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5644</Words>
  <Characters>32175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IZVJEŠTAJ</Company>
  <LinksUpToDate>false</LinksUpToDate>
  <CharactersWithSpaces>37744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Lejla Doljancic</dc:creator>
  <cp:lastModifiedBy>Lejla Ramovic</cp:lastModifiedBy>
  <cp:revision>3</cp:revision>
  <cp:lastPrinted>2016-11-08T11:14:00Z</cp:lastPrinted>
  <dcterms:created xsi:type="dcterms:W3CDTF">2016-11-16T11:39:00Z</dcterms:created>
  <dcterms:modified xsi:type="dcterms:W3CDTF">2016-11-16T11:40:00Z</dcterms:modified>
</cp:coreProperties>
</file>